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A84D4" w14:textId="6F07486B" w:rsidR="00C01D47" w:rsidRDefault="00C01D47" w:rsidP="00C9156C">
      <w:pPr>
        <w:rPr>
          <w:rFonts w:cs="Times New Roman"/>
          <w:b/>
          <w:bCs/>
        </w:rPr>
      </w:pPr>
      <w:bookmarkStart w:id="0" w:name="_Toc69136354"/>
      <w:r w:rsidRPr="00C01D47">
        <w:rPr>
          <w:rFonts w:cs="Times New Roman"/>
          <w:b/>
          <w:bCs/>
        </w:rPr>
        <w:t>INFLUENCE OF GROUND MOTION MODEL SELECTION ON SEISMIC HAZARD FOR JOHANNESBURG</w:t>
      </w:r>
    </w:p>
    <w:p w14:paraId="59E00354" w14:textId="77777777" w:rsidR="00C01D47" w:rsidRDefault="00C01D47" w:rsidP="00C9156C">
      <w:pPr>
        <w:rPr>
          <w:rFonts w:cs="Times New Roman"/>
          <w:b/>
          <w:bCs/>
        </w:rPr>
      </w:pPr>
    </w:p>
    <w:p w14:paraId="0EA22B5A" w14:textId="4B06AB22" w:rsidR="0086413A" w:rsidRPr="00927BAD" w:rsidRDefault="0086413A" w:rsidP="00C9156C">
      <w:pPr>
        <w:rPr>
          <w:rFonts w:cs="Times New Roman"/>
        </w:rPr>
      </w:pPr>
      <w:r w:rsidRPr="00927BAD">
        <w:rPr>
          <w:rFonts w:cs="Times New Roman"/>
          <w:b/>
          <w:bCs/>
        </w:rPr>
        <w:t>Abstract</w:t>
      </w:r>
    </w:p>
    <w:p w14:paraId="46DB8AD2" w14:textId="17C7D85B" w:rsidR="002E2184" w:rsidRPr="002E2184" w:rsidRDefault="0097341F" w:rsidP="00A117F3">
      <w:pPr>
        <w:pStyle w:val="BodyText"/>
        <w:jc w:val="both"/>
        <w:rPr>
          <w:rFonts w:cs="Times New Roman"/>
          <w:sz w:val="20"/>
          <w:szCs w:val="20"/>
          <w:lang w:val="en-ZW"/>
        </w:rPr>
      </w:pPr>
      <w:r>
        <w:rPr>
          <w:rFonts w:cs="Times New Roman"/>
          <w:sz w:val="20"/>
          <w:szCs w:val="20"/>
          <w:lang w:val="en-ZW"/>
        </w:rPr>
        <w:t>Selecting</w:t>
      </w:r>
      <w:r w:rsidR="002E2184" w:rsidRPr="002E2184">
        <w:rPr>
          <w:rFonts w:cs="Times New Roman"/>
          <w:sz w:val="20"/>
          <w:szCs w:val="20"/>
          <w:lang w:val="en-ZW"/>
        </w:rPr>
        <w:t xml:space="preserve"> ground motion</w:t>
      </w:r>
      <w:r w:rsidR="002E2184">
        <w:rPr>
          <w:rFonts w:cs="Times New Roman"/>
          <w:sz w:val="20"/>
          <w:szCs w:val="20"/>
          <w:lang w:val="en-ZW"/>
        </w:rPr>
        <w:t xml:space="preserve"> prediction</w:t>
      </w:r>
      <w:r w:rsidR="002E2184" w:rsidRPr="002E2184">
        <w:rPr>
          <w:rFonts w:cs="Times New Roman"/>
          <w:sz w:val="20"/>
          <w:szCs w:val="20"/>
          <w:lang w:val="en-ZW"/>
        </w:rPr>
        <w:t xml:space="preserve"> models (GMMs) </w:t>
      </w:r>
      <w:r>
        <w:rPr>
          <w:rFonts w:cs="Times New Roman"/>
          <w:sz w:val="20"/>
          <w:szCs w:val="20"/>
          <w:lang w:val="en-ZW"/>
        </w:rPr>
        <w:t xml:space="preserve">is crucial </w:t>
      </w:r>
      <w:r w:rsidR="002E2184" w:rsidRPr="002E2184">
        <w:rPr>
          <w:rFonts w:cs="Times New Roman"/>
          <w:sz w:val="20"/>
          <w:szCs w:val="20"/>
          <w:lang w:val="en-ZW"/>
        </w:rPr>
        <w:t xml:space="preserve">in assessing seismic hazard levels in a specific region. This study </w:t>
      </w:r>
      <w:r>
        <w:rPr>
          <w:rFonts w:cs="Times New Roman"/>
          <w:sz w:val="20"/>
          <w:szCs w:val="20"/>
          <w:lang w:val="en-ZW"/>
        </w:rPr>
        <w:t>investigates</w:t>
      </w:r>
      <w:r w:rsidR="002E2184" w:rsidRPr="002E2184">
        <w:rPr>
          <w:rFonts w:cs="Times New Roman"/>
          <w:sz w:val="20"/>
          <w:szCs w:val="20"/>
          <w:lang w:val="en-ZW"/>
        </w:rPr>
        <w:t xml:space="preserve"> the influence of GMM selection on seismic hazard assessment </w:t>
      </w:r>
      <w:r>
        <w:rPr>
          <w:rFonts w:cs="Times New Roman"/>
          <w:sz w:val="20"/>
          <w:szCs w:val="20"/>
          <w:lang w:val="en-ZW"/>
        </w:rPr>
        <w:t>in</w:t>
      </w:r>
      <w:r w:rsidR="002E2184" w:rsidRPr="002E2184">
        <w:rPr>
          <w:rFonts w:cs="Times New Roman"/>
          <w:sz w:val="20"/>
          <w:szCs w:val="20"/>
          <w:lang w:val="en-ZW"/>
        </w:rPr>
        <w:t xml:space="preserve"> Johannesburg, South Africa.</w:t>
      </w:r>
      <w:r w:rsidR="002E2184">
        <w:rPr>
          <w:rFonts w:cs="Times New Roman"/>
          <w:sz w:val="20"/>
          <w:szCs w:val="20"/>
          <w:lang w:val="en-ZW"/>
        </w:rPr>
        <w:t xml:space="preserve"> </w:t>
      </w:r>
      <w:r w:rsidR="00D03640">
        <w:rPr>
          <w:rFonts w:cs="Times New Roman"/>
          <w:sz w:val="20"/>
          <w:szCs w:val="20"/>
          <w:lang w:val="en-ZW"/>
        </w:rPr>
        <w:t xml:space="preserve">Most seismic events affecting Johannesburg are related to mining activities and water ingress into the underground </w:t>
      </w:r>
      <w:r w:rsidR="00D03640" w:rsidRPr="00D03640">
        <w:rPr>
          <w:rFonts w:cs="Times New Roman"/>
          <w:sz w:val="20"/>
          <w:szCs w:val="20"/>
          <w:lang w:val="en-ZW"/>
        </w:rPr>
        <w:t xml:space="preserve">mine voids. </w:t>
      </w:r>
      <w:r w:rsidR="00D03640" w:rsidRPr="00D03640">
        <w:rPr>
          <w:rFonts w:cs="Times New Roman"/>
          <w:sz w:val="20"/>
          <w:szCs w:val="20"/>
        </w:rPr>
        <w:t>The most seismically active regions in South Africa include areas around </w:t>
      </w:r>
      <w:r w:rsidR="00D03640" w:rsidRPr="00D03640">
        <w:rPr>
          <w:rFonts w:cs="Times New Roman"/>
          <w:bCs/>
          <w:sz w:val="20"/>
          <w:szCs w:val="20"/>
        </w:rPr>
        <w:t>Klerksdorp, Welkom, and Carletonville</w:t>
      </w:r>
      <w:r w:rsidR="00D03640" w:rsidRPr="00D03640">
        <w:rPr>
          <w:rFonts w:cs="Times New Roman"/>
          <w:sz w:val="20"/>
          <w:szCs w:val="20"/>
        </w:rPr>
        <w:t>. These regions experience a significant number of earthquakes, with mining activities being a major factor contributing</w:t>
      </w:r>
      <w:r w:rsidR="00D03640">
        <w:rPr>
          <w:rFonts w:cs="Times New Roman"/>
          <w:sz w:val="20"/>
          <w:szCs w:val="20"/>
        </w:rPr>
        <w:t xml:space="preserve"> to seismic events.</w:t>
      </w:r>
      <w:r w:rsidR="00D03640">
        <w:rPr>
          <w:rFonts w:cs="Times New Roman"/>
          <w:sz w:val="20"/>
          <w:szCs w:val="20"/>
          <w:lang w:val="en-ZW"/>
        </w:rPr>
        <w:t xml:space="preserve"> </w:t>
      </w:r>
      <w:r w:rsidR="002E2184">
        <w:rPr>
          <w:rFonts w:cs="Times New Roman"/>
          <w:sz w:val="20"/>
          <w:szCs w:val="20"/>
          <w:lang w:val="en-ZW"/>
        </w:rPr>
        <w:t>Ten ground motion prediction equations</w:t>
      </w:r>
      <w:r w:rsidR="002E2184" w:rsidRPr="002E2184">
        <w:rPr>
          <w:rFonts w:cs="Times New Roman"/>
          <w:sz w:val="20"/>
          <w:szCs w:val="20"/>
          <w:lang w:val="en-ZW"/>
        </w:rPr>
        <w:t xml:space="preserve"> </w:t>
      </w:r>
      <w:r w:rsidR="002E2184">
        <w:rPr>
          <w:rFonts w:cs="Times New Roman"/>
          <w:sz w:val="20"/>
          <w:szCs w:val="20"/>
          <w:lang w:val="en-ZW"/>
        </w:rPr>
        <w:t>we</w:t>
      </w:r>
      <w:r w:rsidR="002E2184" w:rsidRPr="002E2184">
        <w:rPr>
          <w:rFonts w:cs="Times New Roman"/>
          <w:sz w:val="20"/>
          <w:szCs w:val="20"/>
          <w:lang w:val="en-ZW"/>
        </w:rPr>
        <w:t xml:space="preserve">re </w:t>
      </w:r>
      <w:r w:rsidR="002E2184">
        <w:rPr>
          <w:rFonts w:cs="Times New Roman"/>
          <w:sz w:val="20"/>
          <w:szCs w:val="20"/>
          <w:lang w:val="en-ZW"/>
        </w:rPr>
        <w:t>selected from regions of similar tectonic</w:t>
      </w:r>
      <w:r>
        <w:rPr>
          <w:rFonts w:cs="Times New Roman"/>
          <w:sz w:val="20"/>
          <w:szCs w:val="20"/>
          <w:lang w:val="en-ZW"/>
        </w:rPr>
        <w:t>s</w:t>
      </w:r>
      <w:r w:rsidR="002E2184">
        <w:rPr>
          <w:rFonts w:cs="Times New Roman"/>
          <w:sz w:val="20"/>
          <w:szCs w:val="20"/>
          <w:lang w:val="en-ZW"/>
        </w:rPr>
        <w:t xml:space="preserve"> setting and were assessed </w:t>
      </w:r>
      <w:r>
        <w:rPr>
          <w:rFonts w:cs="Times New Roman"/>
          <w:sz w:val="20"/>
          <w:szCs w:val="20"/>
          <w:lang w:val="en-ZW"/>
        </w:rPr>
        <w:t xml:space="preserve">to see </w:t>
      </w:r>
      <w:r w:rsidR="002E2184">
        <w:rPr>
          <w:rFonts w:cs="Times New Roman"/>
          <w:sz w:val="20"/>
          <w:szCs w:val="20"/>
          <w:lang w:val="en-ZW"/>
        </w:rPr>
        <w:t xml:space="preserve">if they </w:t>
      </w:r>
      <w:r w:rsidR="00917A7D">
        <w:rPr>
          <w:rFonts w:cs="Times New Roman"/>
          <w:sz w:val="20"/>
          <w:szCs w:val="20"/>
          <w:lang w:val="en-ZW"/>
        </w:rPr>
        <w:t>fit the</w:t>
      </w:r>
      <w:r w:rsidR="002E2184">
        <w:rPr>
          <w:rFonts w:cs="Times New Roman"/>
          <w:sz w:val="20"/>
          <w:szCs w:val="20"/>
          <w:lang w:val="en-ZW"/>
        </w:rPr>
        <w:t xml:space="preserve"> available local data.</w:t>
      </w:r>
      <w:r w:rsidR="004C5425">
        <w:rPr>
          <w:rFonts w:cs="Times New Roman"/>
          <w:sz w:val="20"/>
          <w:szCs w:val="20"/>
          <w:lang w:val="en-ZW"/>
        </w:rPr>
        <w:t xml:space="preserve"> </w:t>
      </w:r>
      <w:r w:rsidR="00A117F3">
        <w:rPr>
          <w:rFonts w:cs="Times New Roman"/>
          <w:sz w:val="20"/>
          <w:szCs w:val="20"/>
          <w:lang w:val="en-ZW"/>
        </w:rPr>
        <w:t>Six of these were also compared to the ground motions produced by the 14 August 2014 earthquake</w:t>
      </w:r>
      <w:r w:rsidR="003267A6">
        <w:rPr>
          <w:rFonts w:cs="Times New Roman"/>
          <w:sz w:val="20"/>
          <w:szCs w:val="20"/>
          <w:lang w:val="en-ZW"/>
        </w:rPr>
        <w:t>,</w:t>
      </w:r>
      <w:r w:rsidR="00A117F3">
        <w:rPr>
          <w:rFonts w:cs="Times New Roman"/>
          <w:sz w:val="20"/>
          <w:szCs w:val="20"/>
          <w:lang w:val="en-ZW"/>
        </w:rPr>
        <w:t xml:space="preserve"> which occurred in the Orkney area, one of the mining area</w:t>
      </w:r>
      <w:r w:rsidR="003267A6">
        <w:rPr>
          <w:rFonts w:cs="Times New Roman"/>
          <w:sz w:val="20"/>
          <w:szCs w:val="20"/>
          <w:lang w:val="en-ZW"/>
        </w:rPr>
        <w:t>s</w:t>
      </w:r>
      <w:r w:rsidR="00A117F3">
        <w:rPr>
          <w:rFonts w:cs="Times New Roman"/>
          <w:sz w:val="20"/>
          <w:szCs w:val="20"/>
          <w:lang w:val="en-ZW"/>
        </w:rPr>
        <w:t xml:space="preserve"> in South Africa. Sensitivity analysis were also carried out to assess the influence of </w:t>
      </w:r>
      <w:r w:rsidR="003267A6" w:rsidRPr="009E35DC">
        <w:rPr>
          <w:rFonts w:cs="Times New Roman"/>
          <w:sz w:val="20"/>
          <w:szCs w:val="20"/>
        </w:rPr>
        <w:t xml:space="preserve">Ground-motion prediction equations </w:t>
      </w:r>
      <w:r w:rsidR="003267A6">
        <w:rPr>
          <w:rFonts w:cs="Times New Roman"/>
          <w:sz w:val="20"/>
          <w:szCs w:val="20"/>
        </w:rPr>
        <w:t>(</w:t>
      </w:r>
      <w:r w:rsidR="00A117F3">
        <w:rPr>
          <w:rFonts w:cs="Times New Roman"/>
          <w:sz w:val="20"/>
          <w:szCs w:val="20"/>
          <w:lang w:val="en-ZW"/>
        </w:rPr>
        <w:t>GMPEs</w:t>
      </w:r>
      <w:r w:rsidR="003267A6">
        <w:rPr>
          <w:rFonts w:cs="Times New Roman"/>
          <w:sz w:val="20"/>
          <w:szCs w:val="20"/>
          <w:lang w:val="en-ZW"/>
        </w:rPr>
        <w:t>)</w:t>
      </w:r>
      <w:r w:rsidR="00A117F3">
        <w:rPr>
          <w:rFonts w:cs="Times New Roman"/>
          <w:sz w:val="20"/>
          <w:szCs w:val="20"/>
          <w:lang w:val="en-ZW"/>
        </w:rPr>
        <w:t xml:space="preserve"> </w:t>
      </w:r>
      <w:r w:rsidR="003267A6">
        <w:rPr>
          <w:rFonts w:cs="Times New Roman"/>
          <w:sz w:val="20"/>
          <w:szCs w:val="20"/>
          <w:lang w:val="en-ZW"/>
        </w:rPr>
        <w:t xml:space="preserve">on </w:t>
      </w:r>
      <w:r w:rsidR="00A117F3">
        <w:rPr>
          <w:rFonts w:cs="Times New Roman"/>
          <w:sz w:val="20"/>
          <w:szCs w:val="20"/>
          <w:lang w:val="en-ZW"/>
        </w:rPr>
        <w:t xml:space="preserve">the seismic hazard of Johannesburg. </w:t>
      </w:r>
      <w:r w:rsidR="002E2184" w:rsidRPr="002E2184">
        <w:rPr>
          <w:rFonts w:cs="Times New Roman"/>
          <w:sz w:val="20"/>
          <w:szCs w:val="20"/>
          <w:lang w:val="en-ZW"/>
        </w:rPr>
        <w:t xml:space="preserve">The results indicate that the choice of GMM significantly affects the estimation of seismic hazard levels in Johannesburg. Different GMMs can lead to varying </w:t>
      </w:r>
      <w:r w:rsidR="003267A6" w:rsidRPr="003267A6">
        <w:rPr>
          <w:rFonts w:cs="Times New Roman"/>
          <w:sz w:val="20"/>
          <w:szCs w:val="20"/>
          <w:lang w:val="en-ZW"/>
        </w:rPr>
        <w:t>ground shaking intensity predictions, impacting</w:t>
      </w:r>
      <w:r w:rsidR="002E2184" w:rsidRPr="002E2184">
        <w:rPr>
          <w:rFonts w:cs="Times New Roman"/>
          <w:sz w:val="20"/>
          <w:szCs w:val="20"/>
          <w:lang w:val="en-ZW"/>
        </w:rPr>
        <w:t xml:space="preserve"> risk assessments and engineering design considerations. The findings highlight the importance of carefully selecting appropriate GMMs tailored to </w:t>
      </w:r>
      <w:r w:rsidR="003267A6">
        <w:rPr>
          <w:rFonts w:cs="Times New Roman"/>
          <w:sz w:val="20"/>
          <w:szCs w:val="20"/>
          <w:lang w:val="en-ZW"/>
        </w:rPr>
        <w:t>Johannesburg’s</w:t>
      </w:r>
      <w:r w:rsidR="003267A6" w:rsidRPr="002E2184">
        <w:rPr>
          <w:rFonts w:cs="Times New Roman"/>
          <w:sz w:val="20"/>
          <w:szCs w:val="20"/>
          <w:lang w:val="en-ZW"/>
        </w:rPr>
        <w:t xml:space="preserve"> </w:t>
      </w:r>
      <w:r w:rsidR="002E2184" w:rsidRPr="002E2184">
        <w:rPr>
          <w:rFonts w:cs="Times New Roman"/>
          <w:sz w:val="20"/>
          <w:szCs w:val="20"/>
          <w:lang w:val="en-ZW"/>
        </w:rPr>
        <w:t>specific geological and tectonic characteristics. Understanding how different models perform in this region is essential for accurate seismic risk mitigation strategies.</w:t>
      </w:r>
    </w:p>
    <w:p w14:paraId="7E65D0F7" w14:textId="54B735B3" w:rsidR="0086413A" w:rsidRDefault="0086413A" w:rsidP="00DA1B47">
      <w:pPr>
        <w:pStyle w:val="BodyText"/>
        <w:spacing w:line="240" w:lineRule="auto"/>
        <w:rPr>
          <w:rFonts w:cs="Times New Roman"/>
          <w:sz w:val="20"/>
          <w:szCs w:val="20"/>
        </w:rPr>
      </w:pPr>
    </w:p>
    <w:p w14:paraId="1393FECE" w14:textId="4C2A6CD2" w:rsidR="00A117F3" w:rsidRPr="00A117F3" w:rsidRDefault="00A117F3" w:rsidP="00DA1B47">
      <w:pPr>
        <w:pStyle w:val="BodyText"/>
        <w:spacing w:line="240" w:lineRule="auto"/>
        <w:rPr>
          <w:rFonts w:cs="Times New Roman"/>
          <w:sz w:val="20"/>
          <w:szCs w:val="20"/>
        </w:rPr>
      </w:pPr>
      <w:r>
        <w:rPr>
          <w:rFonts w:cs="Times New Roman"/>
          <w:b/>
          <w:sz w:val="20"/>
          <w:szCs w:val="20"/>
        </w:rPr>
        <w:t xml:space="preserve">Key words: </w:t>
      </w:r>
      <w:r w:rsidR="00072A2F" w:rsidRPr="0023003D">
        <w:rPr>
          <w:rFonts w:cs="Times New Roman"/>
          <w:sz w:val="20"/>
          <w:szCs w:val="20"/>
        </w:rPr>
        <w:t>Seismic hazard</w:t>
      </w:r>
      <w:r w:rsidR="00072A2F">
        <w:rPr>
          <w:rFonts w:cs="Times New Roman"/>
          <w:sz w:val="20"/>
          <w:szCs w:val="20"/>
        </w:rPr>
        <w:t xml:space="preserve"> assessment</w:t>
      </w:r>
      <w:r w:rsidR="00072A2F" w:rsidRPr="0023003D">
        <w:rPr>
          <w:rFonts w:cs="Times New Roman"/>
          <w:sz w:val="20"/>
          <w:szCs w:val="20"/>
        </w:rPr>
        <w:t>,</w:t>
      </w:r>
      <w:r w:rsidR="00072A2F">
        <w:rPr>
          <w:rFonts w:cs="Times New Roman"/>
          <w:b/>
          <w:sz w:val="20"/>
          <w:szCs w:val="20"/>
        </w:rPr>
        <w:t xml:space="preserve"> </w:t>
      </w:r>
      <w:r>
        <w:rPr>
          <w:rFonts w:cs="Times New Roman"/>
          <w:sz w:val="20"/>
          <w:szCs w:val="20"/>
        </w:rPr>
        <w:t>Ground motion prediction equations, Sensitivity analysis, Johannesburg</w:t>
      </w:r>
    </w:p>
    <w:p w14:paraId="230E998E" w14:textId="77777777" w:rsidR="0086413A" w:rsidRPr="00927BAD" w:rsidRDefault="0086413A" w:rsidP="00DA1B47">
      <w:pPr>
        <w:pStyle w:val="BodyText"/>
        <w:spacing w:line="240" w:lineRule="auto"/>
        <w:rPr>
          <w:rFonts w:cs="Times New Roman"/>
          <w:sz w:val="20"/>
          <w:szCs w:val="20"/>
        </w:rPr>
      </w:pPr>
    </w:p>
    <w:p w14:paraId="02259FF3" w14:textId="77777777" w:rsidR="004C5428" w:rsidRPr="00927BAD" w:rsidRDefault="004C5428" w:rsidP="00C9156C">
      <w:pPr>
        <w:rPr>
          <w:rFonts w:cs="Times New Roman"/>
          <w:sz w:val="20"/>
          <w:szCs w:val="20"/>
        </w:rPr>
      </w:pPr>
      <w:r w:rsidRPr="00927BAD">
        <w:rPr>
          <w:rFonts w:cs="Times New Roman"/>
          <w:b/>
          <w:bCs/>
          <w:sz w:val="20"/>
          <w:szCs w:val="20"/>
        </w:rPr>
        <w:t>Introduction</w:t>
      </w:r>
      <w:bookmarkEnd w:id="0"/>
    </w:p>
    <w:p w14:paraId="2EE43C7B" w14:textId="69079021" w:rsidR="004C5428" w:rsidRPr="00A62FE3" w:rsidRDefault="004C5428" w:rsidP="00A62FE3">
      <w:pPr>
        <w:spacing w:line="240" w:lineRule="auto"/>
        <w:ind w:firstLine="720"/>
        <w:jc w:val="both"/>
        <w:rPr>
          <w:rFonts w:cs="Times New Roman"/>
          <w:sz w:val="20"/>
          <w:szCs w:val="20"/>
          <w:lang w:val="en-ZW"/>
        </w:rPr>
      </w:pPr>
      <w:r w:rsidRPr="00927BAD">
        <w:rPr>
          <w:rFonts w:cs="Times New Roman"/>
          <w:sz w:val="20"/>
          <w:szCs w:val="20"/>
        </w:rPr>
        <w:t xml:space="preserve">The ground motion model predicts the distribution of expected ground-motions conditional on the occurrence of a given earthquake scenario. </w:t>
      </w:r>
      <w:r w:rsidR="009E35DC" w:rsidRPr="009E35DC">
        <w:rPr>
          <w:rFonts w:cs="Times New Roman"/>
          <w:sz w:val="20"/>
          <w:szCs w:val="20"/>
        </w:rPr>
        <w:t xml:space="preserve">Selecting an appropriate ground motion model is a critical aspect of seismic hazard analysis (SHA). Ground-motion prediction equations (GMPEs) establish a relationship between a ground-motion parameter (such as peak ground acceleration (PGA), peak ground velocity (PGV), peak spectral acceleration (PSA)) and a series of explanatory variables that describe the earthquake source, wave propagation path, and local soil conditions (Douglas, 2003; Stewart et al., 2015; Akkar et al., 2014). The importance of PGA and various PSAs lies in their significance as </w:t>
      </w:r>
      <w:r w:rsidR="00711099">
        <w:rPr>
          <w:rFonts w:cs="Times New Roman"/>
          <w:sz w:val="20"/>
          <w:szCs w:val="20"/>
        </w:rPr>
        <w:t>critical</w:t>
      </w:r>
      <w:r w:rsidR="009E35DC" w:rsidRPr="009E35DC">
        <w:rPr>
          <w:rFonts w:cs="Times New Roman"/>
          <w:sz w:val="20"/>
          <w:szCs w:val="20"/>
        </w:rPr>
        <w:t xml:space="preserve"> parameters for assessing seismic risk and designing earthquake-resistant structures. PGA measures the maximum acceleration of ground motion during an earthquake, while PSAs indicate the maximum acceleration at specific frequencies. These parameters are essential for evaluating how structures respond to seismic events, as different structures have distinct natural frequencies. Every SHA analysis must include a GMPE that accurately models the transmission of ground motion from the earthquake source to the site.</w:t>
      </w:r>
    </w:p>
    <w:p w14:paraId="04F10850" w14:textId="0194D672" w:rsidR="004C5428" w:rsidRPr="00927BAD" w:rsidRDefault="004C5428" w:rsidP="00776829">
      <w:pPr>
        <w:spacing w:line="240" w:lineRule="auto"/>
        <w:ind w:firstLine="720"/>
        <w:jc w:val="both"/>
        <w:rPr>
          <w:rFonts w:cs="Times New Roman"/>
          <w:sz w:val="20"/>
          <w:szCs w:val="20"/>
        </w:rPr>
      </w:pPr>
      <w:r w:rsidRPr="00927BAD">
        <w:rPr>
          <w:rFonts w:cs="Times New Roman"/>
          <w:sz w:val="20"/>
          <w:szCs w:val="20"/>
        </w:rPr>
        <w:t xml:space="preserve">Ideally, it is preferable to use a GMPE derived from local data, but this is </w:t>
      </w:r>
      <w:r w:rsidR="000A74AD">
        <w:rPr>
          <w:rFonts w:cs="Times New Roman"/>
          <w:sz w:val="20"/>
          <w:szCs w:val="20"/>
        </w:rPr>
        <w:t>only</w:t>
      </w:r>
      <w:r w:rsidR="000A74AD" w:rsidRPr="00927BAD">
        <w:rPr>
          <w:rFonts w:cs="Times New Roman"/>
          <w:sz w:val="20"/>
          <w:szCs w:val="20"/>
        </w:rPr>
        <w:t xml:space="preserve"> </w:t>
      </w:r>
      <w:r w:rsidR="00917A7D" w:rsidRPr="00927BAD">
        <w:rPr>
          <w:rFonts w:cs="Times New Roman"/>
          <w:sz w:val="20"/>
          <w:szCs w:val="20"/>
        </w:rPr>
        <w:t>possible in</w:t>
      </w:r>
      <w:r w:rsidRPr="00927BAD">
        <w:rPr>
          <w:rFonts w:cs="Times New Roman"/>
          <w:sz w:val="20"/>
          <w:szCs w:val="20"/>
        </w:rPr>
        <w:t xml:space="preserve"> regions of dense station coverage and high seismicity</w:t>
      </w:r>
      <w:r w:rsidR="000A74AD">
        <w:rPr>
          <w:rFonts w:cs="Times New Roman"/>
          <w:sz w:val="20"/>
          <w:szCs w:val="20"/>
        </w:rPr>
        <w:t>,</w:t>
      </w:r>
      <w:r w:rsidRPr="00927BAD">
        <w:rPr>
          <w:rFonts w:cs="Times New Roman"/>
          <w:sz w:val="20"/>
          <w:szCs w:val="20"/>
        </w:rPr>
        <w:t xml:space="preserve"> such as Japan or California (Douglas et al., 2011; Bommer et al., 2015a). </w:t>
      </w:r>
      <w:r w:rsidRPr="00927BAD">
        <w:rPr>
          <w:rFonts w:eastAsia="Times New Roman" w:cs="Times New Roman"/>
          <w:sz w:val="20"/>
          <w:szCs w:val="20"/>
        </w:rPr>
        <w:t xml:space="preserve">In South Africa, the only accelerometric stations installed are in the cluster networks in the mining regions. These stations </w:t>
      </w:r>
      <w:r w:rsidR="007474D9" w:rsidRPr="00927BAD">
        <w:rPr>
          <w:rFonts w:eastAsia="Times New Roman" w:cs="Times New Roman"/>
          <w:sz w:val="20"/>
          <w:szCs w:val="20"/>
        </w:rPr>
        <w:t>have been in operation since</w:t>
      </w:r>
      <w:r w:rsidRPr="00927BAD">
        <w:rPr>
          <w:rFonts w:eastAsia="Times New Roman" w:cs="Times New Roman"/>
          <w:sz w:val="20"/>
          <w:szCs w:val="20"/>
        </w:rPr>
        <w:t xml:space="preserve"> 2012, and the existing ground motion record dataset does not allow users to derive such a model due to the lack of strong motion </w:t>
      </w:r>
      <w:r w:rsidRPr="00DA66B4">
        <w:rPr>
          <w:rFonts w:eastAsia="Times New Roman" w:cs="Times New Roman"/>
          <w:sz w:val="20"/>
          <w:szCs w:val="20"/>
        </w:rPr>
        <w:t>earthquakes (</w:t>
      </w:r>
      <w:r w:rsidR="00F50566" w:rsidRPr="00DA66B4">
        <w:rPr>
          <w:rFonts w:eastAsia="Times New Roman" w:cs="Times New Roman"/>
          <w:sz w:val="20"/>
          <w:szCs w:val="20"/>
        </w:rPr>
        <w:t>Grobbelaar</w:t>
      </w:r>
      <w:r w:rsidRPr="00DA66B4">
        <w:rPr>
          <w:rFonts w:eastAsia="Times New Roman" w:cs="Times New Roman"/>
          <w:sz w:val="20"/>
          <w:szCs w:val="20"/>
        </w:rPr>
        <w:t xml:space="preserve"> et al., 2017</w:t>
      </w:r>
      <w:r w:rsidR="00776829" w:rsidRPr="00DA66B4">
        <w:rPr>
          <w:rFonts w:eastAsia="Times New Roman" w:cs="Times New Roman"/>
          <w:sz w:val="20"/>
          <w:szCs w:val="20"/>
        </w:rPr>
        <w:t>).</w:t>
      </w:r>
      <w:r w:rsidR="00776829">
        <w:rPr>
          <w:rFonts w:eastAsia="Times New Roman" w:cs="Times New Roman"/>
          <w:sz w:val="20"/>
          <w:szCs w:val="20"/>
        </w:rPr>
        <w:t xml:space="preserve"> Although </w:t>
      </w:r>
      <w:r w:rsidR="00D66976">
        <w:rPr>
          <w:rFonts w:eastAsia="Times New Roman" w:cs="Times New Roman"/>
          <w:sz w:val="20"/>
          <w:szCs w:val="20"/>
        </w:rPr>
        <w:t>several</w:t>
      </w:r>
      <w:r w:rsidR="00776829">
        <w:rPr>
          <w:rFonts w:eastAsia="Times New Roman" w:cs="Times New Roman"/>
          <w:sz w:val="20"/>
          <w:szCs w:val="20"/>
        </w:rPr>
        <w:t xml:space="preserve"> moderate seismic events (</w:t>
      </w:r>
      <w:r w:rsidR="00917A7D">
        <w:rPr>
          <w:rFonts w:eastAsia="Times New Roman" w:cs="Times New Roman"/>
          <w:sz w:val="20"/>
          <w:szCs w:val="20"/>
        </w:rPr>
        <w:t>e.g., the</w:t>
      </w:r>
      <w:r w:rsidR="00BF051F">
        <w:rPr>
          <w:rFonts w:eastAsia="Times New Roman" w:cs="Times New Roman"/>
          <w:sz w:val="20"/>
          <w:szCs w:val="20"/>
        </w:rPr>
        <w:t xml:space="preserve"> December 1976 M5.2 Welkom event, </w:t>
      </w:r>
      <w:r w:rsidR="00776829">
        <w:rPr>
          <w:rFonts w:eastAsia="Times New Roman" w:cs="Times New Roman"/>
          <w:sz w:val="20"/>
          <w:szCs w:val="20"/>
        </w:rPr>
        <w:t>the April 1977 M5.2 Klerksdorp,</w:t>
      </w:r>
      <w:r w:rsidR="00D66976">
        <w:rPr>
          <w:rFonts w:eastAsia="Times New Roman" w:cs="Times New Roman"/>
          <w:sz w:val="20"/>
          <w:szCs w:val="20"/>
        </w:rPr>
        <w:t xml:space="preserve"> and</w:t>
      </w:r>
      <w:r w:rsidR="00776829">
        <w:rPr>
          <w:rFonts w:eastAsia="Times New Roman" w:cs="Times New Roman"/>
          <w:sz w:val="20"/>
          <w:szCs w:val="20"/>
        </w:rPr>
        <w:t xml:space="preserve"> the 2005 M5.3 Stilfontein) have been recorded in South Africa, these were not captured by the accel</w:t>
      </w:r>
      <w:r w:rsidR="000A74AD">
        <w:rPr>
          <w:rFonts w:eastAsia="Times New Roman" w:cs="Times New Roman"/>
          <w:sz w:val="20"/>
          <w:szCs w:val="20"/>
        </w:rPr>
        <w:t>er</w:t>
      </w:r>
      <w:r w:rsidR="00776829">
        <w:rPr>
          <w:rFonts w:eastAsia="Times New Roman" w:cs="Times New Roman"/>
          <w:sz w:val="20"/>
          <w:szCs w:val="20"/>
        </w:rPr>
        <w:t>ometers for them to be used in developing GMPEs (Fernandez and Van der Heever, 1985</w:t>
      </w:r>
      <w:r w:rsidR="00D66976">
        <w:rPr>
          <w:rFonts w:eastAsia="Times New Roman" w:cs="Times New Roman"/>
          <w:sz w:val="20"/>
          <w:szCs w:val="20"/>
        </w:rPr>
        <w:t>;</w:t>
      </w:r>
      <w:r w:rsidR="00776829">
        <w:rPr>
          <w:rFonts w:eastAsia="Times New Roman" w:cs="Times New Roman"/>
          <w:sz w:val="20"/>
          <w:szCs w:val="20"/>
        </w:rPr>
        <w:t xml:space="preserve"> Durrheim et al., 2006). </w:t>
      </w:r>
      <w:r w:rsidR="00EA4291">
        <w:rPr>
          <w:rFonts w:eastAsia="Times New Roman" w:cs="Times New Roman"/>
          <w:sz w:val="20"/>
          <w:szCs w:val="20"/>
        </w:rPr>
        <w:t>Al</w:t>
      </w:r>
      <w:r w:rsidR="00EA4291" w:rsidRPr="00EA4291">
        <w:rPr>
          <w:rFonts w:eastAsia="Times New Roman" w:cs="Times New Roman"/>
          <w:sz w:val="20"/>
          <w:szCs w:val="20"/>
        </w:rPr>
        <w:t>though the 1976 event was</w:t>
      </w:r>
      <w:r w:rsidR="00EA4291">
        <w:rPr>
          <w:rFonts w:eastAsia="Times New Roman" w:cs="Times New Roman"/>
          <w:sz w:val="20"/>
          <w:szCs w:val="20"/>
        </w:rPr>
        <w:t xml:space="preserve"> recorded on </w:t>
      </w:r>
      <w:r w:rsidR="000A74AD">
        <w:rPr>
          <w:rFonts w:eastAsia="Times New Roman" w:cs="Times New Roman"/>
          <w:sz w:val="20"/>
          <w:szCs w:val="20"/>
        </w:rPr>
        <w:t>accelerometers</w:t>
      </w:r>
      <w:r w:rsidR="00EA4291" w:rsidRPr="00EA4291">
        <w:rPr>
          <w:rFonts w:eastAsia="Times New Roman" w:cs="Times New Roman"/>
          <w:sz w:val="20"/>
          <w:szCs w:val="20"/>
        </w:rPr>
        <w:t xml:space="preserve">, we </w:t>
      </w:r>
      <w:r w:rsidR="00D66976">
        <w:rPr>
          <w:rFonts w:eastAsia="Times New Roman" w:cs="Times New Roman"/>
          <w:sz w:val="20"/>
          <w:szCs w:val="20"/>
        </w:rPr>
        <w:t>only</w:t>
      </w:r>
      <w:r w:rsidR="00EA4291" w:rsidRPr="00EA4291">
        <w:rPr>
          <w:rFonts w:eastAsia="Times New Roman" w:cs="Times New Roman"/>
          <w:sz w:val="20"/>
          <w:szCs w:val="20"/>
        </w:rPr>
        <w:t xml:space="preserve"> ha</w:t>
      </w:r>
      <w:r w:rsidR="00D66976">
        <w:rPr>
          <w:rFonts w:eastAsia="Times New Roman" w:cs="Times New Roman"/>
          <w:sz w:val="20"/>
          <w:szCs w:val="20"/>
        </w:rPr>
        <w:t>d</w:t>
      </w:r>
      <w:r w:rsidR="00EA4291" w:rsidRPr="00EA4291">
        <w:rPr>
          <w:rFonts w:eastAsia="Times New Roman" w:cs="Times New Roman"/>
          <w:sz w:val="20"/>
          <w:szCs w:val="20"/>
        </w:rPr>
        <w:t xml:space="preserve"> access to the recorded data apart from </w:t>
      </w:r>
      <w:r w:rsidR="00D66976">
        <w:rPr>
          <w:rFonts w:eastAsia="Times New Roman" w:cs="Times New Roman"/>
          <w:sz w:val="20"/>
          <w:szCs w:val="20"/>
        </w:rPr>
        <w:t>-</w:t>
      </w:r>
      <w:r w:rsidR="00D66976" w:rsidRPr="00EA4291">
        <w:rPr>
          <w:rFonts w:eastAsia="Times New Roman" w:cs="Times New Roman"/>
          <w:sz w:val="20"/>
          <w:szCs w:val="20"/>
        </w:rPr>
        <w:t xml:space="preserve"> </w:t>
      </w:r>
      <w:r w:rsidR="00EA4291" w:rsidRPr="00EA4291">
        <w:rPr>
          <w:rFonts w:eastAsia="Times New Roman" w:cs="Times New Roman"/>
          <w:sz w:val="20"/>
          <w:szCs w:val="20"/>
        </w:rPr>
        <w:t xml:space="preserve">that quoted in Fernandez and </w:t>
      </w:r>
      <w:r w:rsidR="00917A7D">
        <w:rPr>
          <w:rFonts w:eastAsia="Times New Roman" w:cs="Times New Roman"/>
          <w:sz w:val="20"/>
          <w:szCs w:val="20"/>
        </w:rPr>
        <w:t xml:space="preserve">Van der </w:t>
      </w:r>
      <w:r w:rsidR="00EA4291" w:rsidRPr="00EA4291">
        <w:rPr>
          <w:rFonts w:eastAsia="Times New Roman" w:cs="Times New Roman"/>
          <w:sz w:val="20"/>
          <w:szCs w:val="20"/>
        </w:rPr>
        <w:t>Heever (198</w:t>
      </w:r>
      <w:r w:rsidR="00917A7D">
        <w:rPr>
          <w:rFonts w:eastAsia="Times New Roman" w:cs="Times New Roman"/>
          <w:sz w:val="20"/>
          <w:szCs w:val="20"/>
        </w:rPr>
        <w:t>5</w:t>
      </w:r>
      <w:r w:rsidR="00EA4291" w:rsidRPr="00EA4291">
        <w:rPr>
          <w:rFonts w:eastAsia="Times New Roman" w:cs="Times New Roman"/>
          <w:sz w:val="20"/>
          <w:szCs w:val="20"/>
        </w:rPr>
        <w:t>).</w:t>
      </w:r>
      <w:r w:rsidRPr="00927BAD">
        <w:rPr>
          <w:rFonts w:eastAsia="Times New Roman" w:cs="Times New Roman"/>
          <w:sz w:val="20"/>
          <w:szCs w:val="20"/>
        </w:rPr>
        <w:t xml:space="preserve"> In this regard, models from other regions are carefully selected and tested to determine if they fit appropriately </w:t>
      </w:r>
      <w:r w:rsidR="007E7286">
        <w:rPr>
          <w:rFonts w:eastAsia="Times New Roman" w:cs="Times New Roman"/>
          <w:sz w:val="20"/>
          <w:szCs w:val="20"/>
        </w:rPr>
        <w:t>with</w:t>
      </w:r>
      <w:r w:rsidR="007E7286" w:rsidRPr="00927BAD">
        <w:rPr>
          <w:rFonts w:eastAsia="Times New Roman" w:cs="Times New Roman"/>
          <w:sz w:val="20"/>
          <w:szCs w:val="20"/>
        </w:rPr>
        <w:t xml:space="preserve"> </w:t>
      </w:r>
      <w:r w:rsidRPr="00927BAD">
        <w:rPr>
          <w:rFonts w:eastAsia="Times New Roman" w:cs="Times New Roman"/>
          <w:sz w:val="20"/>
          <w:szCs w:val="20"/>
        </w:rPr>
        <w:t xml:space="preserve">the local data. </w:t>
      </w:r>
      <w:r w:rsidRPr="00927BAD">
        <w:rPr>
          <w:rFonts w:cs="Times New Roman"/>
          <w:sz w:val="20"/>
          <w:szCs w:val="20"/>
        </w:rPr>
        <w:t xml:space="preserve">In actual use in hazard analysis, a ground motion model will be called upon to predict accelerations from the complete range of magnitude and distance </w:t>
      </w:r>
      <w:r w:rsidR="00F50566" w:rsidRPr="00927BAD">
        <w:rPr>
          <w:rFonts w:cs="Times New Roman"/>
          <w:sz w:val="20"/>
          <w:szCs w:val="20"/>
        </w:rPr>
        <w:t xml:space="preserve">scenarios </w:t>
      </w:r>
      <w:r w:rsidRPr="00927BAD">
        <w:rPr>
          <w:rFonts w:cs="Times New Roman"/>
          <w:sz w:val="20"/>
          <w:szCs w:val="20"/>
        </w:rPr>
        <w:t xml:space="preserve">(Shoja-Taheri et al., 2010; Stewart et al., 2015; Midzi et al., 2020). A model that is derived from a dataset that </w:t>
      </w:r>
      <w:r w:rsidR="007E7286">
        <w:rPr>
          <w:rFonts w:cs="Times New Roman"/>
          <w:sz w:val="20"/>
          <w:szCs w:val="20"/>
        </w:rPr>
        <w:t>only</w:t>
      </w:r>
      <w:r w:rsidRPr="00927BAD">
        <w:rPr>
          <w:rFonts w:cs="Times New Roman"/>
          <w:sz w:val="20"/>
          <w:szCs w:val="20"/>
        </w:rPr>
        <w:t xml:space="preserve"> cover</w:t>
      </w:r>
      <w:r w:rsidR="007E7286">
        <w:rPr>
          <w:rFonts w:cs="Times New Roman"/>
          <w:sz w:val="20"/>
          <w:szCs w:val="20"/>
        </w:rPr>
        <w:t>s</w:t>
      </w:r>
      <w:r w:rsidRPr="00927BAD">
        <w:rPr>
          <w:rFonts w:cs="Times New Roman"/>
          <w:sz w:val="20"/>
          <w:szCs w:val="20"/>
        </w:rPr>
        <w:t xml:space="preserve"> </w:t>
      </w:r>
      <w:r w:rsidR="007E7286">
        <w:rPr>
          <w:rFonts w:cs="Times New Roman"/>
          <w:sz w:val="20"/>
          <w:szCs w:val="20"/>
        </w:rPr>
        <w:t xml:space="preserve">part of </w:t>
      </w:r>
      <w:r w:rsidRPr="00927BAD">
        <w:rPr>
          <w:rFonts w:cs="Times New Roman"/>
          <w:sz w:val="20"/>
          <w:szCs w:val="20"/>
        </w:rPr>
        <w:t xml:space="preserve">this range may not be reliable. This is </w:t>
      </w:r>
      <w:r w:rsidR="007E7286">
        <w:rPr>
          <w:rFonts w:cs="Times New Roman"/>
          <w:sz w:val="20"/>
          <w:szCs w:val="20"/>
        </w:rPr>
        <w:t xml:space="preserve">mainly </w:t>
      </w:r>
      <w:r w:rsidRPr="00927BAD">
        <w:rPr>
          <w:rFonts w:cs="Times New Roman"/>
          <w:sz w:val="20"/>
          <w:szCs w:val="20"/>
        </w:rPr>
        <w:t xml:space="preserve">a problem because the datasets frequently tend to be biased towards small earthquakes at short distances and large earthquakes at long distances (Musson and Sargeant, 2007). </w:t>
      </w:r>
      <w:r w:rsidR="007E368C" w:rsidRPr="00917A7D">
        <w:rPr>
          <w:sz w:val="20"/>
          <w:szCs w:val="20"/>
        </w:rPr>
        <w:t>This can result in scaling issues when ground motions need to be calculated for parts of the dataset's magnitude-distance domain that require more accurate representation</w:t>
      </w:r>
      <w:r w:rsidRPr="00927BAD">
        <w:rPr>
          <w:rFonts w:cs="Times New Roman"/>
          <w:sz w:val="20"/>
          <w:szCs w:val="20"/>
        </w:rPr>
        <w:t xml:space="preserve">. Otherwise, one must adopt either a relationship in which local data is augmented with data from a broader region or a relationship from anywhere in the world that is considered to be tectonically similar (Cotton et al., 2006; Bommer et al., 2015a; Midzi et al., 2020). </w:t>
      </w:r>
    </w:p>
    <w:p w14:paraId="2DD89F6F" w14:textId="1F2F0E26" w:rsidR="004C5428" w:rsidRPr="00927BAD" w:rsidRDefault="004C5428" w:rsidP="00C9156C">
      <w:pPr>
        <w:spacing w:line="240" w:lineRule="auto"/>
        <w:ind w:firstLine="720"/>
        <w:jc w:val="both"/>
        <w:rPr>
          <w:rFonts w:cs="Times New Roman"/>
          <w:sz w:val="20"/>
          <w:szCs w:val="20"/>
        </w:rPr>
      </w:pPr>
      <w:r w:rsidRPr="00927BAD">
        <w:rPr>
          <w:rFonts w:cs="Times New Roman"/>
          <w:sz w:val="20"/>
          <w:szCs w:val="20"/>
        </w:rPr>
        <w:lastRenderedPageBreak/>
        <w:t xml:space="preserve">The procedure for </w:t>
      </w:r>
      <w:r w:rsidR="007E368C">
        <w:rPr>
          <w:rFonts w:cs="Times New Roman"/>
          <w:sz w:val="20"/>
          <w:szCs w:val="20"/>
        </w:rPr>
        <w:t>selecting</w:t>
      </w:r>
      <w:r w:rsidRPr="00927BAD">
        <w:rPr>
          <w:rFonts w:cs="Times New Roman"/>
          <w:sz w:val="20"/>
          <w:szCs w:val="20"/>
        </w:rPr>
        <w:t xml:space="preserve"> the appropriate GMPEs for use in the seismic hazard assessment has been well</w:t>
      </w:r>
      <w:r w:rsidR="007E368C">
        <w:rPr>
          <w:rFonts w:cs="Times New Roman"/>
          <w:sz w:val="20"/>
          <w:szCs w:val="20"/>
        </w:rPr>
        <w:t>-</w:t>
      </w:r>
      <w:r w:rsidRPr="00927BAD">
        <w:rPr>
          <w:rFonts w:cs="Times New Roman"/>
          <w:sz w:val="20"/>
          <w:szCs w:val="20"/>
        </w:rPr>
        <w:t xml:space="preserve">documented by </w:t>
      </w:r>
      <w:r w:rsidR="007E368C">
        <w:rPr>
          <w:rFonts w:cs="Times New Roman"/>
          <w:sz w:val="20"/>
          <w:szCs w:val="20"/>
        </w:rPr>
        <w:t>several</w:t>
      </w:r>
      <w:r w:rsidRPr="00927BAD">
        <w:rPr>
          <w:rFonts w:cs="Times New Roman"/>
          <w:sz w:val="20"/>
          <w:szCs w:val="20"/>
        </w:rPr>
        <w:t xml:space="preserve"> authors (Cotton et al., 2006; Scherbaum et al., 2009; Bommer et al., 2010). This process should result in </w:t>
      </w:r>
      <w:r w:rsidR="003367C5" w:rsidRPr="00927BAD">
        <w:rPr>
          <w:rFonts w:cs="Times New Roman"/>
          <w:sz w:val="20"/>
          <w:szCs w:val="20"/>
        </w:rPr>
        <w:t xml:space="preserve">the </w:t>
      </w:r>
      <w:r w:rsidR="003367C5">
        <w:rPr>
          <w:rFonts w:cs="Times New Roman"/>
          <w:sz w:val="20"/>
          <w:szCs w:val="20"/>
        </w:rPr>
        <w:t>miniature</w:t>
      </w:r>
      <w:r w:rsidR="007E368C" w:rsidRPr="00927BAD">
        <w:rPr>
          <w:rFonts w:cs="Times New Roman"/>
          <w:sz w:val="20"/>
          <w:szCs w:val="20"/>
        </w:rPr>
        <w:t xml:space="preserve"> </w:t>
      </w:r>
      <w:r w:rsidRPr="00927BAD">
        <w:rPr>
          <w:rFonts w:cs="Times New Roman"/>
          <w:sz w:val="20"/>
          <w:szCs w:val="20"/>
        </w:rPr>
        <w:t>set of independent models that capture the expected range of possible ground</w:t>
      </w:r>
      <w:r w:rsidR="007E368C">
        <w:rPr>
          <w:rFonts w:cs="Times New Roman"/>
          <w:sz w:val="20"/>
          <w:szCs w:val="20"/>
        </w:rPr>
        <w:t xml:space="preserve"> </w:t>
      </w:r>
      <w:r w:rsidRPr="00927BAD">
        <w:rPr>
          <w:rFonts w:cs="Times New Roman"/>
          <w:sz w:val="20"/>
          <w:szCs w:val="20"/>
        </w:rPr>
        <w:t xml:space="preserve">motions in the target region (Cotton et al., 2006). This </w:t>
      </w:r>
      <w:r w:rsidR="007E368C">
        <w:rPr>
          <w:rFonts w:cs="Times New Roman"/>
          <w:sz w:val="20"/>
          <w:szCs w:val="20"/>
        </w:rPr>
        <w:t>most miniature</w:t>
      </w:r>
      <w:r w:rsidR="007E368C" w:rsidRPr="00927BAD">
        <w:rPr>
          <w:rFonts w:cs="Times New Roman"/>
          <w:sz w:val="20"/>
          <w:szCs w:val="20"/>
        </w:rPr>
        <w:t xml:space="preserve"> </w:t>
      </w:r>
      <w:r w:rsidRPr="00927BAD">
        <w:rPr>
          <w:rFonts w:cs="Times New Roman"/>
          <w:sz w:val="20"/>
          <w:szCs w:val="20"/>
        </w:rPr>
        <w:t xml:space="preserve">set of GMPEs will be compared with local data to verify if they </w:t>
      </w:r>
      <w:r w:rsidR="007E368C">
        <w:rPr>
          <w:rFonts w:cs="Times New Roman"/>
          <w:sz w:val="20"/>
          <w:szCs w:val="20"/>
        </w:rPr>
        <w:t xml:space="preserve">capture the local data’s </w:t>
      </w:r>
      <w:r w:rsidR="00917A7D">
        <w:rPr>
          <w:rFonts w:cs="Times New Roman"/>
          <w:sz w:val="20"/>
          <w:szCs w:val="20"/>
        </w:rPr>
        <w:t>uncertainty</w:t>
      </w:r>
      <w:r w:rsidRPr="00927BAD">
        <w:rPr>
          <w:rFonts w:cs="Times New Roman"/>
          <w:sz w:val="20"/>
          <w:szCs w:val="20"/>
        </w:rPr>
        <w:t>. Many studies have been devoted in recent years to evaluating the performance and reliability of the GMPEs (Cotton et al., 2006; 2008; Shoja-Taheri et al., 2010; Bommer et al., 2003; 2011). Among them, Cotton et al. (2008) investigated the consequences of using them outside their range of validity. It is often the case of predicti</w:t>
      </w:r>
      <w:r w:rsidR="00A5443E">
        <w:rPr>
          <w:rFonts w:cs="Times New Roman"/>
          <w:sz w:val="20"/>
          <w:szCs w:val="20"/>
        </w:rPr>
        <w:t>ng</w:t>
      </w:r>
      <w:r w:rsidRPr="00927BAD">
        <w:rPr>
          <w:rFonts w:cs="Times New Roman"/>
          <w:sz w:val="20"/>
          <w:szCs w:val="20"/>
        </w:rPr>
        <w:t xml:space="preserve"> of spectral ordinates from earthquake</w:t>
      </w:r>
      <w:r w:rsidR="00F50566" w:rsidRPr="00927BAD">
        <w:rPr>
          <w:rFonts w:cs="Times New Roman"/>
          <w:sz w:val="20"/>
          <w:szCs w:val="20"/>
        </w:rPr>
        <w:t>s</w:t>
      </w:r>
      <w:r w:rsidRPr="00927BAD">
        <w:rPr>
          <w:rFonts w:cs="Times New Roman"/>
          <w:sz w:val="20"/>
          <w:szCs w:val="20"/>
        </w:rPr>
        <w:t xml:space="preserve"> of small-to-moderate magnitude, for which the observed spectral values are systematically smaller. The problem arises because of the scarcity of strong motion data needed </w:t>
      </w:r>
      <w:r w:rsidR="00A5443E" w:rsidRPr="003367C5">
        <w:rPr>
          <w:rStyle w:val="Strong"/>
          <w:rFonts w:cs="Times New Roman"/>
          <w:b w:val="0"/>
          <w:color w:val="0E101A"/>
          <w:sz w:val="20"/>
          <w:szCs w:val="20"/>
          <w:shd w:val="clear" w:color="auto" w:fill="FFFFFF"/>
        </w:rPr>
        <w:t xml:space="preserve">to </w:t>
      </w:r>
      <w:r w:rsidR="00B97E47">
        <w:rPr>
          <w:rStyle w:val="Strong"/>
          <w:rFonts w:cs="Times New Roman"/>
          <w:b w:val="0"/>
          <w:color w:val="0E101A"/>
          <w:sz w:val="20"/>
          <w:szCs w:val="20"/>
          <w:shd w:val="clear" w:color="auto" w:fill="FFFFFF"/>
        </w:rPr>
        <w:t xml:space="preserve">definitively </w:t>
      </w:r>
      <w:r w:rsidR="00A5443E" w:rsidRPr="003367C5">
        <w:rPr>
          <w:rStyle w:val="Strong"/>
          <w:rFonts w:cs="Times New Roman"/>
          <w:b w:val="0"/>
          <w:color w:val="0E101A"/>
          <w:sz w:val="20"/>
          <w:szCs w:val="20"/>
          <w:shd w:val="clear" w:color="auto" w:fill="FFFFFF"/>
        </w:rPr>
        <w:t>resolve the shape of the attenuation curve</w:t>
      </w:r>
      <w:r w:rsidRPr="00927BAD">
        <w:rPr>
          <w:rFonts w:cs="Times New Roman"/>
          <w:sz w:val="20"/>
          <w:szCs w:val="20"/>
        </w:rPr>
        <w:t xml:space="preserve">. The uncertainty in the selection process is represented in the branches of the logic tree and weighted according to the </w:t>
      </w:r>
      <w:r w:rsidR="00807A3D">
        <w:rPr>
          <w:rFonts w:cs="Times New Roman"/>
          <w:sz w:val="20"/>
          <w:szCs w:val="20"/>
        </w:rPr>
        <w:t xml:space="preserve">analyst’s </w:t>
      </w:r>
      <w:r w:rsidRPr="00927BAD">
        <w:rPr>
          <w:rFonts w:cs="Times New Roman"/>
          <w:sz w:val="20"/>
          <w:szCs w:val="20"/>
        </w:rPr>
        <w:t xml:space="preserve">relative confidence (Bommer </w:t>
      </w:r>
      <w:r w:rsidRPr="00927BAD">
        <w:rPr>
          <w:rFonts w:cs="Times New Roman"/>
          <w:i/>
          <w:sz w:val="20"/>
          <w:szCs w:val="20"/>
        </w:rPr>
        <w:t>et al</w:t>
      </w:r>
      <w:r w:rsidRPr="00927BAD">
        <w:rPr>
          <w:rFonts w:cs="Times New Roman"/>
          <w:sz w:val="20"/>
          <w:szCs w:val="20"/>
        </w:rPr>
        <w:t>., 2005) or degree of belief using available information.</w:t>
      </w:r>
    </w:p>
    <w:p w14:paraId="5FC6412A" w14:textId="77777777" w:rsidR="004C5428" w:rsidRPr="00927BAD" w:rsidRDefault="004C5428" w:rsidP="00C9156C">
      <w:pPr>
        <w:pStyle w:val="Heading2"/>
        <w:numPr>
          <w:ilvl w:val="0"/>
          <w:numId w:val="0"/>
        </w:numPr>
        <w:spacing w:line="240" w:lineRule="auto"/>
        <w:rPr>
          <w:rFonts w:ascii="Times New Roman" w:hAnsi="Times New Roman" w:cs="Times New Roman"/>
          <w:sz w:val="20"/>
          <w:szCs w:val="20"/>
        </w:rPr>
      </w:pPr>
      <w:bookmarkStart w:id="1" w:name="_Toc414280862"/>
      <w:bookmarkStart w:id="2" w:name="_Toc69136355"/>
      <w:r w:rsidRPr="00927BAD">
        <w:rPr>
          <w:rFonts w:ascii="Times New Roman" w:hAnsi="Times New Roman" w:cs="Times New Roman"/>
          <w:sz w:val="20"/>
          <w:szCs w:val="20"/>
        </w:rPr>
        <w:t>Identification and testing of suitable ground motion prediction equations</w:t>
      </w:r>
      <w:bookmarkEnd w:id="1"/>
      <w:r w:rsidRPr="00927BAD">
        <w:rPr>
          <w:rFonts w:ascii="Times New Roman" w:hAnsi="Times New Roman" w:cs="Times New Roman"/>
          <w:sz w:val="20"/>
          <w:szCs w:val="20"/>
        </w:rPr>
        <w:t xml:space="preserve"> for Johannesburg</w:t>
      </w:r>
      <w:bookmarkEnd w:id="2"/>
      <w:r w:rsidRPr="00927BAD">
        <w:rPr>
          <w:rFonts w:ascii="Times New Roman" w:hAnsi="Times New Roman" w:cs="Times New Roman"/>
          <w:sz w:val="20"/>
          <w:szCs w:val="20"/>
        </w:rPr>
        <w:t xml:space="preserve"> </w:t>
      </w:r>
    </w:p>
    <w:p w14:paraId="25379414" w14:textId="0B7443B4" w:rsidR="00DA66B4" w:rsidRDefault="00807A3D" w:rsidP="00C9156C">
      <w:pPr>
        <w:spacing w:line="240" w:lineRule="auto"/>
        <w:ind w:firstLine="720"/>
        <w:jc w:val="both"/>
        <w:rPr>
          <w:rFonts w:eastAsia="Times New Roman" w:cs="Times New Roman"/>
          <w:sz w:val="20"/>
          <w:szCs w:val="20"/>
        </w:rPr>
      </w:pPr>
      <w:r>
        <w:rPr>
          <w:rFonts w:eastAsia="Times New Roman" w:cs="Times New Roman"/>
          <w:sz w:val="20"/>
          <w:szCs w:val="20"/>
        </w:rPr>
        <w:t>Given</w:t>
      </w:r>
      <w:r w:rsidR="004C5428" w:rsidRPr="00927BAD">
        <w:rPr>
          <w:rFonts w:eastAsia="Times New Roman" w:cs="Times New Roman"/>
          <w:sz w:val="20"/>
          <w:szCs w:val="20"/>
        </w:rPr>
        <w:t xml:space="preserve"> its position relative to plate boundaries, relatively low earthquake activity and</w:t>
      </w:r>
      <w:r>
        <w:rPr>
          <w:rFonts w:eastAsia="Times New Roman" w:cs="Times New Roman"/>
          <w:sz w:val="20"/>
          <w:szCs w:val="20"/>
        </w:rPr>
        <w:t>,</w:t>
      </w:r>
      <w:r w:rsidR="004C5428" w:rsidRPr="00927BAD">
        <w:rPr>
          <w:rFonts w:eastAsia="Times New Roman" w:cs="Times New Roman"/>
          <w:sz w:val="20"/>
          <w:szCs w:val="20"/>
        </w:rPr>
        <w:t xml:space="preserve"> the slow rate of crustal deformation, South Africa is generally considered a Stable Continental Region (SCR). </w:t>
      </w:r>
      <w:bookmarkStart w:id="3" w:name="_Hlk38066269"/>
      <w:r w:rsidR="004C5428" w:rsidRPr="00927BAD">
        <w:rPr>
          <w:rFonts w:eastAsia="Times New Roman" w:cs="Times New Roman"/>
          <w:sz w:val="20"/>
          <w:szCs w:val="20"/>
        </w:rPr>
        <w:t>According to Malservisi et al</w:t>
      </w:r>
      <w:r w:rsidR="004C5428" w:rsidRPr="00927BAD">
        <w:rPr>
          <w:rFonts w:eastAsia="Times New Roman" w:cs="Times New Roman"/>
          <w:i/>
          <w:sz w:val="20"/>
          <w:szCs w:val="20"/>
        </w:rPr>
        <w:t>.</w:t>
      </w:r>
      <w:r w:rsidR="004C5428" w:rsidRPr="00927BAD">
        <w:rPr>
          <w:rFonts w:eastAsia="Times New Roman" w:cs="Times New Roman"/>
          <w:sz w:val="20"/>
          <w:szCs w:val="20"/>
        </w:rPr>
        <w:t xml:space="preserve"> (2013) and Stamps et al</w:t>
      </w:r>
      <w:r w:rsidR="004C5428" w:rsidRPr="00927BAD">
        <w:rPr>
          <w:rFonts w:eastAsia="Times New Roman" w:cs="Times New Roman"/>
          <w:i/>
          <w:sz w:val="20"/>
          <w:szCs w:val="20"/>
        </w:rPr>
        <w:t>.</w:t>
      </w:r>
      <w:r w:rsidR="004C5428" w:rsidRPr="00927BAD">
        <w:rPr>
          <w:rFonts w:eastAsia="Times New Roman" w:cs="Times New Roman"/>
          <w:sz w:val="20"/>
          <w:szCs w:val="20"/>
        </w:rPr>
        <w:t xml:space="preserve"> (2018)</w:t>
      </w:r>
      <w:r w:rsidR="003367C5">
        <w:rPr>
          <w:rFonts w:eastAsia="Times New Roman" w:cs="Times New Roman"/>
          <w:sz w:val="20"/>
          <w:szCs w:val="20"/>
        </w:rPr>
        <w:t>, S</w:t>
      </w:r>
      <w:r>
        <w:rPr>
          <w:rFonts w:eastAsia="Times New Roman" w:cs="Times New Roman"/>
          <w:sz w:val="20"/>
          <w:szCs w:val="20"/>
        </w:rPr>
        <w:t>outh Africa’s</w:t>
      </w:r>
      <w:r w:rsidR="004C5428" w:rsidRPr="00927BAD">
        <w:rPr>
          <w:rFonts w:eastAsia="Times New Roman" w:cs="Times New Roman"/>
          <w:sz w:val="20"/>
          <w:szCs w:val="20"/>
        </w:rPr>
        <w:t xml:space="preserve"> deformation rates are less than 1mm year</w:t>
      </w:r>
      <w:r>
        <w:rPr>
          <w:rFonts w:eastAsia="Times New Roman" w:cs="Times New Roman"/>
          <w:sz w:val="20"/>
          <w:szCs w:val="20"/>
        </w:rPr>
        <w:t>ly</w:t>
      </w:r>
      <w:r w:rsidR="004C5428" w:rsidRPr="00927BAD">
        <w:rPr>
          <w:rFonts w:eastAsia="Times New Roman" w:cs="Times New Roman"/>
          <w:sz w:val="20"/>
          <w:szCs w:val="20"/>
        </w:rPr>
        <w:t xml:space="preserve">. </w:t>
      </w:r>
      <w:bookmarkEnd w:id="3"/>
      <w:r w:rsidR="004C5428" w:rsidRPr="00927BAD">
        <w:rPr>
          <w:rFonts w:eastAsia="Times New Roman" w:cs="Times New Roman"/>
          <w:sz w:val="20"/>
          <w:szCs w:val="20"/>
        </w:rPr>
        <w:t xml:space="preserve">Therefore, an analogy for this region would be a SCR such as Eastern North America (ENA) and Australia, for which a </w:t>
      </w:r>
      <w:r w:rsidR="00241D56">
        <w:rPr>
          <w:rFonts w:eastAsia="Times New Roman" w:cs="Times New Roman"/>
          <w:sz w:val="20"/>
          <w:szCs w:val="20"/>
        </w:rPr>
        <w:t>several</w:t>
      </w:r>
      <w:r w:rsidR="004C5428" w:rsidRPr="00927BAD">
        <w:rPr>
          <w:rFonts w:eastAsia="Times New Roman" w:cs="Times New Roman"/>
          <w:sz w:val="20"/>
          <w:szCs w:val="20"/>
        </w:rPr>
        <w:t xml:space="preserve"> ground-motion models are available. Unlike ENA, however, the current tectonic regime of the southern African region (mainly along the eastern parts) shows evidence of extensional tectonic stresses with dominant normal faulting (Hartnady, 2002; Stamps et al</w:t>
      </w:r>
      <w:r w:rsidR="004C5428" w:rsidRPr="00927BAD">
        <w:rPr>
          <w:rFonts w:eastAsia="Times New Roman" w:cs="Times New Roman"/>
          <w:i/>
          <w:sz w:val="20"/>
          <w:szCs w:val="20"/>
        </w:rPr>
        <w:t>.,</w:t>
      </w:r>
      <w:r w:rsidR="004C5428" w:rsidRPr="00927BAD">
        <w:rPr>
          <w:rFonts w:eastAsia="Times New Roman" w:cs="Times New Roman"/>
          <w:sz w:val="20"/>
          <w:szCs w:val="20"/>
        </w:rPr>
        <w:t xml:space="preserve"> 2018; </w:t>
      </w:r>
      <w:r w:rsidR="004C5428" w:rsidRPr="0018477F">
        <w:rPr>
          <w:rFonts w:eastAsia="Times New Roman" w:cs="Times New Roman"/>
          <w:sz w:val="20"/>
          <w:szCs w:val="20"/>
        </w:rPr>
        <w:t xml:space="preserve">Manzunzu et al., 2019; Midzi et al., 2020). Studies by Johnston </w:t>
      </w:r>
      <w:r w:rsidR="004C5428" w:rsidRPr="0018477F">
        <w:rPr>
          <w:rFonts w:eastAsia="Times New Roman" w:cs="Times New Roman"/>
          <w:iCs/>
          <w:sz w:val="20"/>
          <w:szCs w:val="20"/>
        </w:rPr>
        <w:t>et al</w:t>
      </w:r>
      <w:r w:rsidR="004C5428" w:rsidRPr="0018477F">
        <w:rPr>
          <w:rFonts w:eastAsia="Times New Roman" w:cs="Times New Roman"/>
          <w:sz w:val="20"/>
          <w:szCs w:val="20"/>
        </w:rPr>
        <w:t xml:space="preserve">. (1994) show that extensional tectonic stresses are uncommon within SCRs, </w:t>
      </w:r>
      <w:r w:rsidR="00241D56">
        <w:rPr>
          <w:rFonts w:eastAsia="Times New Roman" w:cs="Times New Roman"/>
          <w:sz w:val="20"/>
          <w:szCs w:val="20"/>
        </w:rPr>
        <w:t>so</w:t>
      </w:r>
      <w:r w:rsidR="004C5428" w:rsidRPr="0018477F">
        <w:rPr>
          <w:rFonts w:eastAsia="Times New Roman" w:cs="Times New Roman"/>
          <w:sz w:val="20"/>
          <w:szCs w:val="20"/>
        </w:rPr>
        <w:t xml:space="preserve"> alternative GMPEs from active shallow crust </w:t>
      </w:r>
      <w:r w:rsidR="00F779A7" w:rsidRPr="0018477F">
        <w:rPr>
          <w:rFonts w:eastAsia="Times New Roman" w:cs="Times New Roman"/>
          <w:sz w:val="20"/>
          <w:szCs w:val="20"/>
        </w:rPr>
        <w:t xml:space="preserve">can be </w:t>
      </w:r>
      <w:r w:rsidR="004C5428" w:rsidRPr="0018477F">
        <w:rPr>
          <w:rFonts w:eastAsia="Times New Roman" w:cs="Times New Roman"/>
          <w:sz w:val="20"/>
          <w:szCs w:val="20"/>
        </w:rPr>
        <w:t>selected.</w:t>
      </w:r>
      <w:r w:rsidR="00DA66B4" w:rsidRPr="0018477F">
        <w:rPr>
          <w:rFonts w:eastAsia="Times New Roman" w:cs="Times New Roman"/>
          <w:sz w:val="20"/>
          <w:szCs w:val="20"/>
        </w:rPr>
        <w:t xml:space="preserve"> </w:t>
      </w:r>
      <w:r w:rsidR="00F779A7" w:rsidRPr="0018477F">
        <w:rPr>
          <w:rFonts w:eastAsia="Times New Roman" w:cs="Times New Roman"/>
          <w:sz w:val="20"/>
          <w:szCs w:val="20"/>
        </w:rPr>
        <w:t>Ninety percent</w:t>
      </w:r>
      <w:r w:rsidR="004C5428" w:rsidRPr="0018477F">
        <w:rPr>
          <w:rFonts w:eastAsia="Times New Roman" w:cs="Times New Roman"/>
          <w:sz w:val="20"/>
          <w:szCs w:val="20"/>
        </w:rPr>
        <w:t xml:space="preserve"> of seismicity in South Africa comes from the mining regions</w:t>
      </w:r>
      <w:r w:rsidR="00F779A7" w:rsidRPr="0018477F">
        <w:rPr>
          <w:rFonts w:eastAsia="Times New Roman" w:cs="Times New Roman"/>
          <w:sz w:val="20"/>
          <w:szCs w:val="20"/>
        </w:rPr>
        <w:t xml:space="preserve">, thus </w:t>
      </w:r>
      <w:r w:rsidR="00241D56">
        <w:rPr>
          <w:rFonts w:eastAsia="Times New Roman" w:cs="Times New Roman"/>
          <w:sz w:val="20"/>
          <w:szCs w:val="20"/>
        </w:rPr>
        <w:t>motivating</w:t>
      </w:r>
      <w:r w:rsidR="00F779A7" w:rsidRPr="0018477F">
        <w:rPr>
          <w:rFonts w:eastAsia="Times New Roman" w:cs="Times New Roman"/>
          <w:sz w:val="20"/>
          <w:szCs w:val="20"/>
        </w:rPr>
        <w:t xml:space="preserve"> for us to identify and select</w:t>
      </w:r>
      <w:r w:rsidR="004C5428" w:rsidRPr="0018477F">
        <w:rPr>
          <w:rFonts w:eastAsia="Times New Roman" w:cs="Times New Roman"/>
          <w:sz w:val="20"/>
          <w:szCs w:val="20"/>
        </w:rPr>
        <w:t xml:space="preserve"> </w:t>
      </w:r>
      <w:r w:rsidR="00F779A7" w:rsidRPr="0018477F">
        <w:rPr>
          <w:rFonts w:eastAsia="Times New Roman" w:cs="Times New Roman"/>
          <w:sz w:val="20"/>
          <w:szCs w:val="20"/>
        </w:rPr>
        <w:t xml:space="preserve">suitable </w:t>
      </w:r>
      <w:r w:rsidR="004C5428" w:rsidRPr="0018477F">
        <w:rPr>
          <w:rFonts w:eastAsia="Times New Roman" w:cs="Times New Roman"/>
          <w:sz w:val="20"/>
          <w:szCs w:val="20"/>
        </w:rPr>
        <w:t>GMPEs</w:t>
      </w:r>
      <w:r w:rsidR="00241D56">
        <w:rPr>
          <w:rFonts w:eastAsia="Times New Roman" w:cs="Times New Roman"/>
          <w:sz w:val="20"/>
          <w:szCs w:val="20"/>
        </w:rPr>
        <w:t>,</w:t>
      </w:r>
      <w:r w:rsidR="004C5428" w:rsidRPr="0018477F">
        <w:rPr>
          <w:rFonts w:eastAsia="Times New Roman" w:cs="Times New Roman"/>
          <w:sz w:val="20"/>
          <w:szCs w:val="20"/>
        </w:rPr>
        <w:t xml:space="preserve"> </w:t>
      </w:r>
      <w:r w:rsidR="00F779A7" w:rsidRPr="0018477F">
        <w:rPr>
          <w:rFonts w:eastAsia="Times New Roman" w:cs="Times New Roman"/>
          <w:sz w:val="20"/>
          <w:szCs w:val="20"/>
        </w:rPr>
        <w:t xml:space="preserve">preferably </w:t>
      </w:r>
      <w:r w:rsidR="004C5428" w:rsidRPr="0018477F">
        <w:rPr>
          <w:rFonts w:eastAsia="Times New Roman" w:cs="Times New Roman"/>
          <w:sz w:val="20"/>
          <w:szCs w:val="20"/>
        </w:rPr>
        <w:t>derived from induced seismicity. Ground motions from induced seismicity are characterised by high frequencies which tend to attenuate faster than natural tectonic events (McGarr and Fletcher, 2005; Manzunzu et al., 2017; Zulu, 2018).</w:t>
      </w:r>
      <w:r w:rsidR="004C5428" w:rsidRPr="00927BAD">
        <w:rPr>
          <w:rFonts w:eastAsia="Times New Roman" w:cs="Times New Roman"/>
          <w:sz w:val="20"/>
          <w:szCs w:val="20"/>
        </w:rPr>
        <w:t xml:space="preserve"> </w:t>
      </w:r>
    </w:p>
    <w:p w14:paraId="15111BEF" w14:textId="6CC7FABB" w:rsidR="004C5428" w:rsidRPr="00927BAD" w:rsidRDefault="004C5428" w:rsidP="00C9156C">
      <w:pPr>
        <w:spacing w:line="240" w:lineRule="auto"/>
        <w:ind w:firstLine="720"/>
        <w:jc w:val="both"/>
        <w:rPr>
          <w:rFonts w:eastAsia="Times New Roman" w:cs="Times New Roman"/>
          <w:sz w:val="20"/>
          <w:szCs w:val="20"/>
        </w:rPr>
      </w:pPr>
      <w:r w:rsidRPr="00927BAD">
        <w:rPr>
          <w:rFonts w:eastAsia="Times New Roman" w:cs="Times New Roman"/>
          <w:sz w:val="20"/>
          <w:szCs w:val="20"/>
        </w:rPr>
        <w:t>Ten pre-selected GMPEs from the three tectonic regions mentioned above</w:t>
      </w:r>
      <w:r w:rsidR="00F779A7" w:rsidRPr="00927BAD">
        <w:rPr>
          <w:rFonts w:eastAsia="Times New Roman" w:cs="Times New Roman"/>
          <w:sz w:val="20"/>
          <w:szCs w:val="20"/>
        </w:rPr>
        <w:t xml:space="preserve"> (SCR, </w:t>
      </w:r>
      <w:r w:rsidR="00F7010D" w:rsidRPr="00927BAD">
        <w:rPr>
          <w:rFonts w:cs="Times New Roman"/>
          <w:sz w:val="20"/>
          <w:szCs w:val="20"/>
        </w:rPr>
        <w:t>shallow active crusts (SAC), induced seismicity regions (ISR))</w:t>
      </w:r>
      <w:r w:rsidRPr="00927BAD">
        <w:rPr>
          <w:rFonts w:eastAsia="Times New Roman" w:cs="Times New Roman"/>
          <w:sz w:val="20"/>
          <w:szCs w:val="20"/>
        </w:rPr>
        <w:t xml:space="preserve"> were tested on how </w:t>
      </w:r>
      <w:r w:rsidR="004B7773">
        <w:rPr>
          <w:rFonts w:eastAsia="Times New Roman" w:cs="Times New Roman"/>
          <w:sz w:val="20"/>
          <w:szCs w:val="20"/>
        </w:rPr>
        <w:t>well</w:t>
      </w:r>
      <w:r w:rsidR="004B7773" w:rsidRPr="00927BAD">
        <w:rPr>
          <w:rFonts w:eastAsia="Times New Roman" w:cs="Times New Roman"/>
          <w:sz w:val="20"/>
          <w:szCs w:val="20"/>
        </w:rPr>
        <w:t xml:space="preserve"> </w:t>
      </w:r>
      <w:r w:rsidRPr="00927BAD">
        <w:rPr>
          <w:rFonts w:eastAsia="Times New Roman" w:cs="Times New Roman"/>
          <w:sz w:val="20"/>
          <w:szCs w:val="20"/>
        </w:rPr>
        <w:t xml:space="preserve">they predict ground motion in South Africa using local data for different spectral periods. The information for each GMPE is shown in Table </w:t>
      </w:r>
      <w:r w:rsidR="00744F1E">
        <w:rPr>
          <w:rFonts w:eastAsia="Times New Roman" w:cs="Times New Roman"/>
          <w:sz w:val="20"/>
          <w:szCs w:val="20"/>
        </w:rPr>
        <w:t>I</w:t>
      </w:r>
      <w:r w:rsidRPr="00927BAD">
        <w:rPr>
          <w:rFonts w:eastAsia="Times New Roman" w:cs="Times New Roman"/>
          <w:sz w:val="20"/>
          <w:szCs w:val="20"/>
        </w:rPr>
        <w:t xml:space="preserve"> below.</w:t>
      </w:r>
      <w:r w:rsidR="009D5E73" w:rsidRPr="00927BAD">
        <w:rPr>
          <w:rFonts w:eastAsia="Times New Roman" w:cs="Times New Roman"/>
          <w:sz w:val="20"/>
          <w:szCs w:val="20"/>
        </w:rPr>
        <w:t xml:space="preserve"> The method of Scherbaum et al</w:t>
      </w:r>
      <w:r w:rsidR="009D5E73" w:rsidRPr="00927BAD">
        <w:rPr>
          <w:rFonts w:eastAsia="Times New Roman" w:cs="Times New Roman"/>
          <w:i/>
          <w:sz w:val="20"/>
          <w:szCs w:val="20"/>
        </w:rPr>
        <w:t>.</w:t>
      </w:r>
      <w:r w:rsidR="009D5E73" w:rsidRPr="00927BAD">
        <w:rPr>
          <w:rFonts w:eastAsia="Times New Roman" w:cs="Times New Roman"/>
          <w:sz w:val="20"/>
          <w:szCs w:val="20"/>
        </w:rPr>
        <w:t xml:space="preserve"> (2004) was applied in order to rank these 10 GMPEs. This method is based on a transparent and data-driven process that quantifies the model fit and measures how well the underlying model assumptions are met.</w:t>
      </w:r>
      <w:r w:rsidR="00DA66B4" w:rsidRPr="00DA66B4">
        <w:rPr>
          <w:rFonts w:eastAsia="Times New Roman" w:cs="Times New Roman"/>
          <w:sz w:val="20"/>
          <w:szCs w:val="20"/>
        </w:rPr>
        <w:t xml:space="preserve"> </w:t>
      </w:r>
      <w:r w:rsidR="00EA3802">
        <w:rPr>
          <w:rFonts w:eastAsia="Times New Roman" w:cs="Times New Roman"/>
          <w:sz w:val="20"/>
          <w:szCs w:val="20"/>
        </w:rPr>
        <w:t>S</w:t>
      </w:r>
      <w:r w:rsidR="00DA66B4" w:rsidRPr="00927BAD">
        <w:rPr>
          <w:rFonts w:eastAsia="Times New Roman" w:cs="Times New Roman"/>
          <w:sz w:val="20"/>
          <w:szCs w:val="20"/>
        </w:rPr>
        <w:t xml:space="preserve">everal GMPEs in </w:t>
      </w:r>
      <w:r w:rsidR="005E75CA" w:rsidRPr="00927BAD">
        <w:rPr>
          <w:rFonts w:eastAsia="Times New Roman" w:cs="Times New Roman"/>
          <w:sz w:val="20"/>
          <w:szCs w:val="20"/>
        </w:rPr>
        <w:t>literature were</w:t>
      </w:r>
      <w:r w:rsidR="00DA66B4" w:rsidRPr="00927BAD">
        <w:rPr>
          <w:rFonts w:eastAsia="Times New Roman" w:cs="Times New Roman"/>
          <w:sz w:val="20"/>
          <w:szCs w:val="20"/>
        </w:rPr>
        <w:t xml:space="preserve"> derived from induced seismic events. However, only one (the relation by McGarr and Fletcher, 2005) is derived</w:t>
      </w:r>
      <w:r w:rsidR="00EA3802">
        <w:rPr>
          <w:rFonts w:eastAsia="Times New Roman" w:cs="Times New Roman"/>
          <w:sz w:val="20"/>
          <w:szCs w:val="20"/>
        </w:rPr>
        <w:t xml:space="preserve"> explicitly</w:t>
      </w:r>
      <w:r w:rsidR="00DA66B4" w:rsidRPr="00927BAD">
        <w:rPr>
          <w:rFonts w:eastAsia="Times New Roman" w:cs="Times New Roman"/>
          <w:sz w:val="20"/>
          <w:szCs w:val="20"/>
        </w:rPr>
        <w:t xml:space="preserve"> from mining</w:t>
      </w:r>
      <w:r w:rsidR="00EA3802">
        <w:rPr>
          <w:rFonts w:eastAsia="Times New Roman" w:cs="Times New Roman"/>
          <w:sz w:val="20"/>
          <w:szCs w:val="20"/>
        </w:rPr>
        <w:t>-</w:t>
      </w:r>
      <w:r w:rsidR="00DA66B4" w:rsidRPr="00927BAD">
        <w:rPr>
          <w:rFonts w:eastAsia="Times New Roman" w:cs="Times New Roman"/>
          <w:sz w:val="20"/>
          <w:szCs w:val="20"/>
        </w:rPr>
        <w:t xml:space="preserve">related events. Most of the other GMPEs were derived </w:t>
      </w:r>
      <w:r w:rsidR="00EA3802">
        <w:rPr>
          <w:rFonts w:eastAsia="Times New Roman" w:cs="Times New Roman"/>
          <w:sz w:val="20"/>
          <w:szCs w:val="20"/>
        </w:rPr>
        <w:t>geothermal or</w:t>
      </w:r>
      <w:r w:rsidR="00DA66B4" w:rsidRPr="00927BAD">
        <w:rPr>
          <w:rFonts w:eastAsia="Times New Roman" w:cs="Times New Roman"/>
          <w:sz w:val="20"/>
          <w:szCs w:val="20"/>
        </w:rPr>
        <w:t xml:space="preserve"> fracking events. However, the McGarr and Fletcher (2005) relation has been observed to grossly under</w:t>
      </w:r>
      <w:r w:rsidR="005E75CA">
        <w:rPr>
          <w:rFonts w:eastAsia="Times New Roman" w:cs="Times New Roman"/>
          <w:sz w:val="20"/>
          <w:szCs w:val="20"/>
        </w:rPr>
        <w:t xml:space="preserve"> </w:t>
      </w:r>
      <w:r w:rsidR="00DA66B4" w:rsidRPr="00927BAD">
        <w:rPr>
          <w:rFonts w:eastAsia="Times New Roman" w:cs="Times New Roman"/>
          <w:sz w:val="20"/>
          <w:szCs w:val="20"/>
        </w:rPr>
        <w:t xml:space="preserve">predict </w:t>
      </w:r>
      <w:r w:rsidR="004B7773">
        <w:rPr>
          <w:rFonts w:eastAsia="Times New Roman" w:cs="Times New Roman"/>
          <w:sz w:val="20"/>
          <w:szCs w:val="20"/>
        </w:rPr>
        <w:t xml:space="preserve">ground motion for </w:t>
      </w:r>
      <w:r w:rsidR="00DA66B4" w:rsidRPr="00927BAD">
        <w:rPr>
          <w:rFonts w:eastAsia="Times New Roman" w:cs="Times New Roman"/>
          <w:sz w:val="20"/>
          <w:szCs w:val="20"/>
        </w:rPr>
        <w:t>events of M</w:t>
      </w:r>
      <w:r w:rsidR="00DA66B4" w:rsidRPr="00927BAD">
        <w:rPr>
          <w:rFonts w:eastAsia="Times New Roman" w:cs="Times New Roman"/>
          <w:sz w:val="20"/>
          <w:szCs w:val="20"/>
          <w:vertAlign w:val="subscript"/>
        </w:rPr>
        <w:t>W</w:t>
      </w:r>
      <w:r w:rsidR="00DA66B4" w:rsidRPr="00927BAD">
        <w:rPr>
          <w:rFonts w:eastAsia="Times New Roman" w:cs="Times New Roman"/>
          <w:sz w:val="20"/>
          <w:szCs w:val="20"/>
        </w:rPr>
        <w:t xml:space="preserve"> &gt; 5.0 and distances larger than 10 km (Zulu, 2018). </w:t>
      </w:r>
      <w:r w:rsidR="00DA66B4">
        <w:rPr>
          <w:rFonts w:eastAsia="Times New Roman" w:cs="Times New Roman"/>
          <w:sz w:val="20"/>
          <w:szCs w:val="20"/>
        </w:rPr>
        <w:t>Most GMPEs derived from induced seismicity were derived for only one spectral period</w:t>
      </w:r>
      <w:r w:rsidR="00EA3802">
        <w:rPr>
          <w:rFonts w:eastAsia="Times New Roman" w:cs="Times New Roman"/>
          <w:sz w:val="20"/>
          <w:szCs w:val="20"/>
        </w:rPr>
        <w:t>,</w:t>
      </w:r>
      <w:r w:rsidR="00DA66B4">
        <w:rPr>
          <w:rFonts w:eastAsia="Times New Roman" w:cs="Times New Roman"/>
          <w:sz w:val="20"/>
          <w:szCs w:val="20"/>
        </w:rPr>
        <w:t xml:space="preserve"> i.e.</w:t>
      </w:r>
      <w:r w:rsidR="00EA3802">
        <w:rPr>
          <w:rFonts w:eastAsia="Times New Roman" w:cs="Times New Roman"/>
          <w:sz w:val="20"/>
          <w:szCs w:val="20"/>
        </w:rPr>
        <w:t>,</w:t>
      </w:r>
      <w:r w:rsidR="00DA66B4">
        <w:rPr>
          <w:rFonts w:eastAsia="Times New Roman" w:cs="Times New Roman"/>
          <w:sz w:val="20"/>
          <w:szCs w:val="20"/>
        </w:rPr>
        <w:t xml:space="preserve"> peak ground acceleration (PGA)</w:t>
      </w:r>
      <w:r w:rsidR="00EA3802">
        <w:rPr>
          <w:rFonts w:eastAsia="Times New Roman" w:cs="Times New Roman"/>
          <w:sz w:val="20"/>
          <w:szCs w:val="20"/>
        </w:rPr>
        <w:t>.</w:t>
      </w:r>
      <w:r w:rsidR="00D8588A">
        <w:rPr>
          <w:rFonts w:eastAsia="Times New Roman" w:cs="Times New Roman"/>
          <w:sz w:val="20"/>
          <w:szCs w:val="20"/>
        </w:rPr>
        <w:t xml:space="preserve"> </w:t>
      </w:r>
      <w:r w:rsidR="00EA3802">
        <w:rPr>
          <w:rFonts w:eastAsia="Times New Roman" w:cs="Times New Roman"/>
          <w:sz w:val="20"/>
          <w:szCs w:val="20"/>
        </w:rPr>
        <w:t>At the same time,</w:t>
      </w:r>
      <w:r w:rsidR="00DA66B4">
        <w:rPr>
          <w:rFonts w:eastAsia="Times New Roman" w:cs="Times New Roman"/>
          <w:sz w:val="20"/>
          <w:szCs w:val="20"/>
        </w:rPr>
        <w:t xml:space="preserve"> in this study</w:t>
      </w:r>
      <w:r w:rsidR="00EA3802">
        <w:rPr>
          <w:rFonts w:eastAsia="Times New Roman" w:cs="Times New Roman"/>
          <w:sz w:val="20"/>
          <w:szCs w:val="20"/>
        </w:rPr>
        <w:t>,</w:t>
      </w:r>
      <w:r w:rsidR="00DA66B4">
        <w:rPr>
          <w:rFonts w:eastAsia="Times New Roman" w:cs="Times New Roman"/>
          <w:sz w:val="20"/>
          <w:szCs w:val="20"/>
        </w:rPr>
        <w:t xml:space="preserve"> we needed GMPEs that catered for other spectral periods.</w:t>
      </w:r>
      <w:r w:rsidR="00DA66B4" w:rsidRPr="00927BAD">
        <w:rPr>
          <w:rFonts w:eastAsia="Times New Roman" w:cs="Times New Roman"/>
          <w:sz w:val="20"/>
          <w:szCs w:val="20"/>
        </w:rPr>
        <w:t xml:space="preserve"> Hence</w:t>
      </w:r>
      <w:r w:rsidR="00EA3802">
        <w:rPr>
          <w:rFonts w:eastAsia="Times New Roman" w:cs="Times New Roman"/>
          <w:sz w:val="20"/>
          <w:szCs w:val="20"/>
        </w:rPr>
        <w:t>,</w:t>
      </w:r>
      <w:r w:rsidR="00DA66B4" w:rsidRPr="00927BAD">
        <w:rPr>
          <w:rFonts w:eastAsia="Times New Roman" w:cs="Times New Roman"/>
          <w:sz w:val="20"/>
          <w:szCs w:val="20"/>
        </w:rPr>
        <w:t xml:space="preserve"> they were not tested in this study. The only GMPE from induced seismicity applied in this study </w:t>
      </w:r>
      <w:r w:rsidR="00EA3802">
        <w:rPr>
          <w:rFonts w:eastAsia="Times New Roman" w:cs="Times New Roman"/>
          <w:sz w:val="20"/>
          <w:szCs w:val="20"/>
        </w:rPr>
        <w:t>was developed</w:t>
      </w:r>
      <w:r w:rsidR="00EA3802" w:rsidRPr="00927BAD">
        <w:rPr>
          <w:rFonts w:eastAsia="Times New Roman" w:cs="Times New Roman"/>
          <w:sz w:val="20"/>
          <w:szCs w:val="20"/>
        </w:rPr>
        <w:t xml:space="preserve"> </w:t>
      </w:r>
      <w:r w:rsidR="00DA66B4" w:rsidRPr="00927BAD">
        <w:rPr>
          <w:rFonts w:eastAsia="Times New Roman" w:cs="Times New Roman"/>
          <w:sz w:val="20"/>
          <w:szCs w:val="20"/>
        </w:rPr>
        <w:t>by Atkinson (2015) for geothermal sources for spectral periods up to 2 seconds.</w:t>
      </w:r>
    </w:p>
    <w:p w14:paraId="4C696BA7" w14:textId="7BC3B955" w:rsidR="004C5428" w:rsidRPr="00927BAD" w:rsidRDefault="0063283B" w:rsidP="0063283B">
      <w:pPr>
        <w:pStyle w:val="Caption"/>
        <w:rPr>
          <w:rFonts w:cs="Times New Roman"/>
          <w:b w:val="0"/>
          <w:color w:val="auto"/>
          <w:sz w:val="20"/>
          <w:szCs w:val="20"/>
        </w:rPr>
      </w:pPr>
      <w:bookmarkStart w:id="4" w:name="_Toc69136786"/>
      <w:r w:rsidRPr="00744F1E">
        <w:rPr>
          <w:rFonts w:cs="Times New Roman"/>
          <w:b w:val="0"/>
          <w:color w:val="auto"/>
          <w:sz w:val="20"/>
          <w:szCs w:val="20"/>
        </w:rPr>
        <w:t>Table</w:t>
      </w:r>
      <w:r w:rsidR="00744F1E" w:rsidRPr="00744F1E">
        <w:rPr>
          <w:rFonts w:cs="Times New Roman"/>
          <w:b w:val="0"/>
          <w:color w:val="auto"/>
          <w:sz w:val="20"/>
          <w:szCs w:val="20"/>
        </w:rPr>
        <w:t xml:space="preserve"> I</w:t>
      </w:r>
      <w:r w:rsidR="004C5428" w:rsidRPr="00744F1E">
        <w:rPr>
          <w:rFonts w:cs="Times New Roman"/>
          <w:b w:val="0"/>
          <w:color w:val="auto"/>
          <w:sz w:val="20"/>
          <w:szCs w:val="20"/>
        </w:rPr>
        <w:t xml:space="preserve">: </w:t>
      </w:r>
      <w:r w:rsidR="004C5428" w:rsidRPr="00927BAD">
        <w:rPr>
          <w:rFonts w:cs="Times New Roman"/>
          <w:b w:val="0"/>
          <w:color w:val="auto"/>
          <w:sz w:val="20"/>
          <w:szCs w:val="20"/>
        </w:rPr>
        <w:t>GMPEs pre</w:t>
      </w:r>
      <w:r w:rsidR="00F779A7" w:rsidRPr="00927BAD">
        <w:rPr>
          <w:rFonts w:cs="Times New Roman"/>
          <w:b w:val="0"/>
          <w:color w:val="auto"/>
          <w:sz w:val="20"/>
          <w:szCs w:val="20"/>
        </w:rPr>
        <w:t>-</w:t>
      </w:r>
      <w:r w:rsidR="004C5428" w:rsidRPr="00927BAD">
        <w:rPr>
          <w:rFonts w:cs="Times New Roman"/>
          <w:b w:val="0"/>
          <w:color w:val="auto"/>
          <w:sz w:val="20"/>
          <w:szCs w:val="20"/>
        </w:rPr>
        <w:t>selected from different tectonic settings to be used in this study, including the regions</w:t>
      </w:r>
      <w:r w:rsidR="00F7010D" w:rsidRPr="00927BAD">
        <w:rPr>
          <w:rFonts w:cs="Times New Roman"/>
          <w:b w:val="0"/>
          <w:color w:val="auto"/>
          <w:sz w:val="20"/>
          <w:szCs w:val="20"/>
        </w:rPr>
        <w:t xml:space="preserve"> (SCR, SAC and ISR)</w:t>
      </w:r>
      <w:r w:rsidR="004C5428" w:rsidRPr="00927BAD">
        <w:rPr>
          <w:rFonts w:cs="Times New Roman"/>
          <w:b w:val="0"/>
          <w:color w:val="auto"/>
          <w:sz w:val="20"/>
          <w:szCs w:val="20"/>
        </w:rPr>
        <w:t xml:space="preserve"> for which they were developed. </w:t>
      </w:r>
      <w:bookmarkEnd w:id="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423"/>
        <w:gridCol w:w="3686"/>
        <w:gridCol w:w="1150"/>
        <w:gridCol w:w="1134"/>
      </w:tblGrid>
      <w:tr w:rsidR="004C5428" w:rsidRPr="00927BAD" w14:paraId="5894A965" w14:textId="77777777" w:rsidTr="005E75CA">
        <w:trPr>
          <w:trHeight w:val="321"/>
          <w:jc w:val="center"/>
        </w:trPr>
        <w:tc>
          <w:tcPr>
            <w:tcW w:w="549" w:type="dxa"/>
            <w:shd w:val="clear" w:color="auto" w:fill="auto"/>
          </w:tcPr>
          <w:p w14:paraId="0353B89E" w14:textId="77777777" w:rsidR="004C5428" w:rsidRPr="00927BAD" w:rsidRDefault="004C5428" w:rsidP="00DA1B47">
            <w:pPr>
              <w:spacing w:after="0" w:line="240" w:lineRule="auto"/>
              <w:jc w:val="both"/>
              <w:rPr>
                <w:rFonts w:cs="Times New Roman"/>
                <w:b/>
                <w:sz w:val="20"/>
                <w:szCs w:val="20"/>
              </w:rPr>
            </w:pPr>
          </w:p>
        </w:tc>
        <w:tc>
          <w:tcPr>
            <w:tcW w:w="2423" w:type="dxa"/>
            <w:shd w:val="clear" w:color="auto" w:fill="auto"/>
          </w:tcPr>
          <w:p w14:paraId="3DDE3BCC" w14:textId="77777777" w:rsidR="004C5428" w:rsidRPr="00927BAD" w:rsidRDefault="004C5428" w:rsidP="00DA1B47">
            <w:pPr>
              <w:spacing w:after="0" w:line="240" w:lineRule="auto"/>
              <w:jc w:val="both"/>
              <w:rPr>
                <w:rFonts w:cs="Times New Roman"/>
                <w:b/>
                <w:sz w:val="20"/>
                <w:szCs w:val="20"/>
              </w:rPr>
            </w:pPr>
            <w:r w:rsidRPr="00927BAD">
              <w:rPr>
                <w:rFonts w:cs="Times New Roman"/>
                <w:b/>
                <w:sz w:val="20"/>
                <w:szCs w:val="20"/>
              </w:rPr>
              <w:t>GMPE</w:t>
            </w:r>
          </w:p>
        </w:tc>
        <w:tc>
          <w:tcPr>
            <w:tcW w:w="3686" w:type="dxa"/>
            <w:shd w:val="clear" w:color="auto" w:fill="auto"/>
          </w:tcPr>
          <w:p w14:paraId="11A8D602" w14:textId="77777777" w:rsidR="004C5428" w:rsidRPr="00927BAD" w:rsidRDefault="004C5428" w:rsidP="00DA1B47">
            <w:pPr>
              <w:spacing w:after="0" w:line="240" w:lineRule="auto"/>
              <w:jc w:val="both"/>
              <w:rPr>
                <w:rFonts w:cs="Times New Roman"/>
                <w:b/>
                <w:sz w:val="20"/>
                <w:szCs w:val="20"/>
              </w:rPr>
            </w:pPr>
            <w:r w:rsidRPr="00927BAD">
              <w:rPr>
                <w:rFonts w:cs="Times New Roman"/>
                <w:b/>
                <w:sz w:val="20"/>
                <w:szCs w:val="20"/>
              </w:rPr>
              <w:t xml:space="preserve">Tectonic region </w:t>
            </w:r>
          </w:p>
        </w:tc>
        <w:tc>
          <w:tcPr>
            <w:tcW w:w="1150" w:type="dxa"/>
          </w:tcPr>
          <w:p w14:paraId="1526CD7E" w14:textId="77777777" w:rsidR="004C5428" w:rsidRPr="00927BAD" w:rsidRDefault="004C5428" w:rsidP="00DA1B47">
            <w:pPr>
              <w:spacing w:after="0" w:line="240" w:lineRule="auto"/>
              <w:jc w:val="both"/>
              <w:rPr>
                <w:rFonts w:cs="Times New Roman"/>
                <w:b/>
                <w:sz w:val="20"/>
                <w:szCs w:val="20"/>
              </w:rPr>
            </w:pPr>
            <w:r w:rsidRPr="00927BAD">
              <w:rPr>
                <w:rFonts w:cs="Times New Roman"/>
                <w:b/>
                <w:sz w:val="20"/>
                <w:szCs w:val="20"/>
              </w:rPr>
              <w:t>Magnitude range (M</w:t>
            </w:r>
            <w:r w:rsidRPr="00927BAD">
              <w:rPr>
                <w:rFonts w:cs="Times New Roman"/>
                <w:b/>
                <w:sz w:val="20"/>
                <w:szCs w:val="20"/>
                <w:vertAlign w:val="subscript"/>
              </w:rPr>
              <w:t>W</w:t>
            </w:r>
            <w:r w:rsidRPr="00927BAD">
              <w:rPr>
                <w:rFonts w:cs="Times New Roman"/>
                <w:b/>
                <w:sz w:val="20"/>
                <w:szCs w:val="20"/>
              </w:rPr>
              <w:t xml:space="preserve">) </w:t>
            </w:r>
          </w:p>
        </w:tc>
        <w:tc>
          <w:tcPr>
            <w:tcW w:w="1134" w:type="dxa"/>
          </w:tcPr>
          <w:p w14:paraId="0CA6082F" w14:textId="77777777" w:rsidR="004C5428" w:rsidRPr="00927BAD" w:rsidRDefault="004C5428" w:rsidP="00DA1B47">
            <w:pPr>
              <w:spacing w:after="0" w:line="240" w:lineRule="auto"/>
              <w:jc w:val="both"/>
              <w:rPr>
                <w:rFonts w:cs="Times New Roman"/>
                <w:b/>
                <w:sz w:val="20"/>
                <w:szCs w:val="20"/>
              </w:rPr>
            </w:pPr>
            <w:r w:rsidRPr="00927BAD">
              <w:rPr>
                <w:rFonts w:cs="Times New Roman"/>
                <w:b/>
                <w:sz w:val="20"/>
                <w:szCs w:val="20"/>
              </w:rPr>
              <w:t>Distance range (km)</w:t>
            </w:r>
          </w:p>
        </w:tc>
      </w:tr>
      <w:tr w:rsidR="004C5428" w:rsidRPr="00927BAD" w14:paraId="41FF61E2" w14:textId="77777777" w:rsidTr="005E75CA">
        <w:trPr>
          <w:jc w:val="center"/>
        </w:trPr>
        <w:tc>
          <w:tcPr>
            <w:tcW w:w="549" w:type="dxa"/>
            <w:shd w:val="clear" w:color="auto" w:fill="auto"/>
          </w:tcPr>
          <w:p w14:paraId="5A337BFB"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1</w:t>
            </w:r>
          </w:p>
        </w:tc>
        <w:tc>
          <w:tcPr>
            <w:tcW w:w="2423" w:type="dxa"/>
            <w:shd w:val="clear" w:color="auto" w:fill="auto"/>
          </w:tcPr>
          <w:p w14:paraId="0428226E" w14:textId="77777777" w:rsidR="004C5428" w:rsidRPr="00927BAD" w:rsidRDefault="004C5428" w:rsidP="006201C5">
            <w:pPr>
              <w:spacing w:after="0" w:line="240" w:lineRule="auto"/>
              <w:jc w:val="both"/>
              <w:rPr>
                <w:rFonts w:cs="Times New Roman"/>
                <w:sz w:val="20"/>
                <w:szCs w:val="20"/>
              </w:rPr>
            </w:pPr>
            <w:r w:rsidRPr="00927BAD">
              <w:rPr>
                <w:rFonts w:eastAsia="Calibri" w:cs="Times New Roman"/>
                <w:sz w:val="20"/>
                <w:szCs w:val="20"/>
              </w:rPr>
              <w:t>Boore and Atkinson (2008) as modified by Atkinson and Boore (2011)</w:t>
            </w:r>
          </w:p>
        </w:tc>
        <w:tc>
          <w:tcPr>
            <w:tcW w:w="3686" w:type="dxa"/>
            <w:shd w:val="clear" w:color="auto" w:fill="auto"/>
          </w:tcPr>
          <w:p w14:paraId="12BD8C10" w14:textId="77777777" w:rsidR="004C5428" w:rsidRPr="00927BAD" w:rsidRDefault="004C5428" w:rsidP="00DA1B47">
            <w:pPr>
              <w:spacing w:after="0" w:line="240" w:lineRule="auto"/>
              <w:jc w:val="both"/>
              <w:rPr>
                <w:rFonts w:cs="Times New Roman"/>
                <w:sz w:val="20"/>
                <w:szCs w:val="20"/>
              </w:rPr>
            </w:pPr>
            <w:r w:rsidRPr="00927BAD">
              <w:rPr>
                <w:rFonts w:eastAsia="Calibri" w:cs="Times New Roman"/>
                <w:sz w:val="20"/>
                <w:szCs w:val="20"/>
              </w:rPr>
              <w:t>Referenced empirical model for eastern North America (SAC)</w:t>
            </w:r>
          </w:p>
        </w:tc>
        <w:tc>
          <w:tcPr>
            <w:tcW w:w="1150" w:type="dxa"/>
          </w:tcPr>
          <w:p w14:paraId="0CB2FAD6" w14:textId="77777777" w:rsidR="004C5428" w:rsidRPr="00927BAD" w:rsidRDefault="004C5428" w:rsidP="00DA1B47">
            <w:pPr>
              <w:spacing w:after="0" w:line="240" w:lineRule="auto"/>
              <w:jc w:val="both"/>
              <w:rPr>
                <w:rFonts w:eastAsia="Calibri" w:cs="Times New Roman"/>
                <w:sz w:val="20"/>
                <w:szCs w:val="20"/>
              </w:rPr>
            </w:pPr>
            <w:r w:rsidRPr="00927BAD">
              <w:rPr>
                <w:rFonts w:eastAsia="Calibri" w:cs="Times New Roman"/>
                <w:sz w:val="20"/>
                <w:szCs w:val="20"/>
              </w:rPr>
              <w:t>5 - 8</w:t>
            </w:r>
          </w:p>
        </w:tc>
        <w:tc>
          <w:tcPr>
            <w:tcW w:w="1134" w:type="dxa"/>
          </w:tcPr>
          <w:p w14:paraId="494D9FFC" w14:textId="77777777" w:rsidR="004C5428" w:rsidRPr="00927BAD" w:rsidRDefault="004C5428" w:rsidP="00DA1B47">
            <w:pPr>
              <w:spacing w:after="0" w:line="240" w:lineRule="auto"/>
              <w:jc w:val="both"/>
              <w:rPr>
                <w:rFonts w:eastAsia="Calibri" w:cs="Times New Roman"/>
                <w:sz w:val="20"/>
                <w:szCs w:val="20"/>
              </w:rPr>
            </w:pPr>
            <w:r w:rsidRPr="00927BAD">
              <w:rPr>
                <w:rFonts w:eastAsia="Calibri" w:cs="Times New Roman"/>
                <w:sz w:val="20"/>
                <w:szCs w:val="20"/>
              </w:rPr>
              <w:t>0 - 400</w:t>
            </w:r>
          </w:p>
        </w:tc>
      </w:tr>
      <w:tr w:rsidR="004C5428" w:rsidRPr="00927BAD" w14:paraId="346E3535" w14:textId="77777777" w:rsidTr="005E75CA">
        <w:trPr>
          <w:jc w:val="center"/>
        </w:trPr>
        <w:tc>
          <w:tcPr>
            <w:tcW w:w="549" w:type="dxa"/>
            <w:shd w:val="clear" w:color="auto" w:fill="auto"/>
          </w:tcPr>
          <w:p w14:paraId="7D5B050C"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2</w:t>
            </w:r>
          </w:p>
        </w:tc>
        <w:tc>
          <w:tcPr>
            <w:tcW w:w="2423" w:type="dxa"/>
            <w:shd w:val="clear" w:color="auto" w:fill="auto"/>
          </w:tcPr>
          <w:p w14:paraId="27DD976B" w14:textId="77777777" w:rsidR="004C5428" w:rsidRPr="00927BAD" w:rsidRDefault="004C5428" w:rsidP="006201C5">
            <w:pPr>
              <w:spacing w:after="0" w:line="240" w:lineRule="auto"/>
              <w:jc w:val="both"/>
              <w:rPr>
                <w:rFonts w:cs="Times New Roman"/>
                <w:sz w:val="20"/>
                <w:szCs w:val="20"/>
              </w:rPr>
            </w:pPr>
            <w:r w:rsidRPr="00927BAD">
              <w:rPr>
                <w:rFonts w:eastAsia="Calibri" w:cs="Times New Roman"/>
                <w:sz w:val="20"/>
                <w:szCs w:val="20"/>
              </w:rPr>
              <w:t>Atkinson and Boore (2006) as modified by Atkinson and Boore (2011)</w:t>
            </w:r>
          </w:p>
        </w:tc>
        <w:tc>
          <w:tcPr>
            <w:tcW w:w="3686" w:type="dxa"/>
            <w:shd w:val="clear" w:color="auto" w:fill="auto"/>
          </w:tcPr>
          <w:p w14:paraId="7B06B9A9" w14:textId="77777777" w:rsidR="004C5428" w:rsidRPr="00927BAD" w:rsidRDefault="004C5428" w:rsidP="00DA1B47">
            <w:pPr>
              <w:spacing w:after="0" w:line="240" w:lineRule="auto"/>
              <w:jc w:val="both"/>
              <w:rPr>
                <w:rFonts w:cs="Times New Roman"/>
                <w:sz w:val="20"/>
                <w:szCs w:val="20"/>
              </w:rPr>
            </w:pPr>
            <w:r w:rsidRPr="00927BAD">
              <w:rPr>
                <w:rFonts w:eastAsia="Calibri" w:cs="Times New Roman"/>
                <w:sz w:val="20"/>
                <w:szCs w:val="20"/>
              </w:rPr>
              <w:t>Extended stochastic model for eastern America (SCR)</w:t>
            </w:r>
          </w:p>
        </w:tc>
        <w:tc>
          <w:tcPr>
            <w:tcW w:w="1150" w:type="dxa"/>
          </w:tcPr>
          <w:p w14:paraId="4C0D87C6"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3.5-8</w:t>
            </w:r>
          </w:p>
        </w:tc>
        <w:tc>
          <w:tcPr>
            <w:tcW w:w="1134" w:type="dxa"/>
          </w:tcPr>
          <w:p w14:paraId="3E1E88AD"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1-1000</w:t>
            </w:r>
          </w:p>
        </w:tc>
      </w:tr>
      <w:tr w:rsidR="004C5428" w:rsidRPr="00927BAD" w14:paraId="6472E14D" w14:textId="77777777" w:rsidTr="005E75CA">
        <w:trPr>
          <w:jc w:val="center"/>
        </w:trPr>
        <w:tc>
          <w:tcPr>
            <w:tcW w:w="549" w:type="dxa"/>
            <w:shd w:val="clear" w:color="auto" w:fill="auto"/>
          </w:tcPr>
          <w:p w14:paraId="02FBFC5D"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3</w:t>
            </w:r>
          </w:p>
        </w:tc>
        <w:tc>
          <w:tcPr>
            <w:tcW w:w="2423" w:type="dxa"/>
            <w:shd w:val="clear" w:color="auto" w:fill="auto"/>
          </w:tcPr>
          <w:p w14:paraId="180D218D" w14:textId="77777777" w:rsidR="004C5428" w:rsidRPr="00927BAD" w:rsidRDefault="004C5428" w:rsidP="006201C5">
            <w:pPr>
              <w:spacing w:after="0" w:line="240" w:lineRule="auto"/>
              <w:jc w:val="both"/>
              <w:rPr>
                <w:rFonts w:cs="Times New Roman"/>
                <w:sz w:val="20"/>
                <w:szCs w:val="20"/>
              </w:rPr>
            </w:pPr>
            <w:r w:rsidRPr="00927BAD">
              <w:rPr>
                <w:rFonts w:eastAsia="Calibri" w:cs="Times New Roman"/>
                <w:sz w:val="20"/>
                <w:szCs w:val="20"/>
              </w:rPr>
              <w:t>Campbell (2003)</w:t>
            </w:r>
          </w:p>
        </w:tc>
        <w:tc>
          <w:tcPr>
            <w:tcW w:w="3686" w:type="dxa"/>
            <w:shd w:val="clear" w:color="auto" w:fill="auto"/>
          </w:tcPr>
          <w:p w14:paraId="4ACCE6AE" w14:textId="77777777" w:rsidR="004C5428" w:rsidRPr="00927BAD" w:rsidRDefault="004C5428" w:rsidP="00DA1B47">
            <w:pPr>
              <w:spacing w:after="0" w:line="240" w:lineRule="auto"/>
              <w:jc w:val="both"/>
              <w:rPr>
                <w:rFonts w:cs="Times New Roman"/>
                <w:sz w:val="20"/>
                <w:szCs w:val="20"/>
              </w:rPr>
            </w:pPr>
            <w:r w:rsidRPr="00927BAD">
              <w:rPr>
                <w:rFonts w:eastAsia="Calibri" w:cs="Times New Roman"/>
                <w:sz w:val="20"/>
                <w:szCs w:val="20"/>
              </w:rPr>
              <w:t>Hybrid model for eastern North America (SCR)</w:t>
            </w:r>
          </w:p>
        </w:tc>
        <w:tc>
          <w:tcPr>
            <w:tcW w:w="1150" w:type="dxa"/>
          </w:tcPr>
          <w:p w14:paraId="31BA847E"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5-8.2</w:t>
            </w:r>
          </w:p>
        </w:tc>
        <w:tc>
          <w:tcPr>
            <w:tcW w:w="1134" w:type="dxa"/>
          </w:tcPr>
          <w:p w14:paraId="5B79A319"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1-1000</w:t>
            </w:r>
          </w:p>
        </w:tc>
      </w:tr>
      <w:tr w:rsidR="004C5428" w:rsidRPr="00927BAD" w14:paraId="646619FF" w14:textId="77777777" w:rsidTr="005E75CA">
        <w:trPr>
          <w:jc w:val="center"/>
        </w:trPr>
        <w:tc>
          <w:tcPr>
            <w:tcW w:w="549" w:type="dxa"/>
            <w:shd w:val="clear" w:color="auto" w:fill="auto"/>
          </w:tcPr>
          <w:p w14:paraId="263A4468"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4</w:t>
            </w:r>
          </w:p>
        </w:tc>
        <w:tc>
          <w:tcPr>
            <w:tcW w:w="2423" w:type="dxa"/>
            <w:shd w:val="clear" w:color="auto" w:fill="auto"/>
          </w:tcPr>
          <w:p w14:paraId="245EFFCE" w14:textId="77777777" w:rsidR="004C5428" w:rsidRPr="00927BAD" w:rsidRDefault="004C5428" w:rsidP="006201C5">
            <w:pPr>
              <w:spacing w:after="0" w:line="240" w:lineRule="auto"/>
              <w:jc w:val="both"/>
              <w:rPr>
                <w:rFonts w:cs="Times New Roman"/>
                <w:sz w:val="20"/>
                <w:szCs w:val="20"/>
              </w:rPr>
            </w:pPr>
            <w:r w:rsidRPr="00927BAD">
              <w:rPr>
                <w:rFonts w:eastAsia="Calibri" w:cs="Times New Roman"/>
                <w:sz w:val="20"/>
                <w:szCs w:val="20"/>
              </w:rPr>
              <w:t>Rietbrock et al</w:t>
            </w:r>
            <w:r w:rsidRPr="00927BAD">
              <w:rPr>
                <w:rFonts w:eastAsia="Calibri" w:cs="Times New Roman"/>
                <w:i/>
                <w:sz w:val="20"/>
                <w:szCs w:val="20"/>
              </w:rPr>
              <w:t>.,</w:t>
            </w:r>
            <w:r w:rsidRPr="00927BAD">
              <w:rPr>
                <w:rFonts w:eastAsia="Calibri" w:cs="Times New Roman"/>
                <w:sz w:val="20"/>
                <w:szCs w:val="20"/>
              </w:rPr>
              <w:t xml:space="preserve"> (2013)</w:t>
            </w:r>
          </w:p>
        </w:tc>
        <w:tc>
          <w:tcPr>
            <w:tcW w:w="3686" w:type="dxa"/>
            <w:shd w:val="clear" w:color="auto" w:fill="auto"/>
          </w:tcPr>
          <w:p w14:paraId="6B885A40" w14:textId="77777777" w:rsidR="004C5428" w:rsidRPr="00927BAD" w:rsidRDefault="004C5428" w:rsidP="00DA1B47">
            <w:pPr>
              <w:spacing w:after="0" w:line="240" w:lineRule="auto"/>
              <w:jc w:val="both"/>
              <w:rPr>
                <w:rFonts w:cs="Times New Roman"/>
                <w:sz w:val="20"/>
                <w:szCs w:val="20"/>
              </w:rPr>
            </w:pPr>
            <w:r w:rsidRPr="00927BAD">
              <w:rPr>
                <w:rFonts w:eastAsia="Calibri" w:cs="Times New Roman"/>
                <w:sz w:val="20"/>
                <w:szCs w:val="20"/>
              </w:rPr>
              <w:t>Stochastic model for United Kingdom (SCR)</w:t>
            </w:r>
          </w:p>
        </w:tc>
        <w:tc>
          <w:tcPr>
            <w:tcW w:w="1150" w:type="dxa"/>
          </w:tcPr>
          <w:p w14:paraId="68FB2FF9" w14:textId="77777777" w:rsidR="004C5428" w:rsidRPr="00927BAD" w:rsidRDefault="004C5428" w:rsidP="00DA1B47">
            <w:pPr>
              <w:spacing w:after="0" w:line="240" w:lineRule="auto"/>
              <w:jc w:val="both"/>
              <w:rPr>
                <w:rFonts w:eastAsia="Calibri" w:cs="Times New Roman"/>
                <w:sz w:val="20"/>
                <w:szCs w:val="20"/>
              </w:rPr>
            </w:pPr>
            <w:r w:rsidRPr="00927BAD">
              <w:rPr>
                <w:rFonts w:eastAsia="Calibri" w:cs="Times New Roman"/>
                <w:sz w:val="20"/>
                <w:szCs w:val="20"/>
              </w:rPr>
              <w:t>4.5 – 7.5</w:t>
            </w:r>
          </w:p>
        </w:tc>
        <w:tc>
          <w:tcPr>
            <w:tcW w:w="1134" w:type="dxa"/>
          </w:tcPr>
          <w:p w14:paraId="076C64DD" w14:textId="77777777" w:rsidR="004C5428" w:rsidRPr="00927BAD" w:rsidRDefault="004C5428" w:rsidP="00DA1B47">
            <w:pPr>
              <w:spacing w:after="0" w:line="240" w:lineRule="auto"/>
              <w:jc w:val="both"/>
              <w:rPr>
                <w:rFonts w:eastAsia="Calibri" w:cs="Times New Roman"/>
                <w:sz w:val="20"/>
                <w:szCs w:val="20"/>
              </w:rPr>
            </w:pPr>
            <w:r w:rsidRPr="00927BAD">
              <w:rPr>
                <w:rFonts w:eastAsia="Calibri" w:cs="Times New Roman"/>
                <w:sz w:val="20"/>
                <w:szCs w:val="20"/>
              </w:rPr>
              <w:t>1 - 1000</w:t>
            </w:r>
          </w:p>
        </w:tc>
      </w:tr>
      <w:tr w:rsidR="004C5428" w:rsidRPr="00927BAD" w14:paraId="6D56B9EE" w14:textId="77777777" w:rsidTr="005E75CA">
        <w:trPr>
          <w:jc w:val="center"/>
        </w:trPr>
        <w:tc>
          <w:tcPr>
            <w:tcW w:w="549" w:type="dxa"/>
            <w:shd w:val="clear" w:color="auto" w:fill="auto"/>
          </w:tcPr>
          <w:p w14:paraId="3C002FD1"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5</w:t>
            </w:r>
          </w:p>
        </w:tc>
        <w:tc>
          <w:tcPr>
            <w:tcW w:w="2423" w:type="dxa"/>
            <w:shd w:val="clear" w:color="auto" w:fill="auto"/>
          </w:tcPr>
          <w:p w14:paraId="6E373925" w14:textId="77777777" w:rsidR="004C5428" w:rsidRPr="00927BAD" w:rsidRDefault="004C5428" w:rsidP="006201C5">
            <w:pPr>
              <w:spacing w:after="0" w:line="240" w:lineRule="auto"/>
              <w:jc w:val="both"/>
              <w:rPr>
                <w:rFonts w:cs="Times New Roman"/>
                <w:sz w:val="20"/>
                <w:szCs w:val="20"/>
              </w:rPr>
            </w:pPr>
            <w:r w:rsidRPr="00927BAD">
              <w:rPr>
                <w:rFonts w:eastAsia="Calibri" w:cs="Times New Roman"/>
                <w:sz w:val="20"/>
                <w:szCs w:val="20"/>
              </w:rPr>
              <w:t>Frankel et al</w:t>
            </w:r>
            <w:r w:rsidRPr="00927BAD">
              <w:rPr>
                <w:rFonts w:eastAsia="Calibri" w:cs="Times New Roman"/>
                <w:i/>
                <w:sz w:val="20"/>
                <w:szCs w:val="20"/>
              </w:rPr>
              <w:t>.</w:t>
            </w:r>
            <w:r w:rsidRPr="00927BAD">
              <w:rPr>
                <w:rFonts w:eastAsia="Calibri" w:cs="Times New Roman"/>
                <w:sz w:val="20"/>
                <w:szCs w:val="20"/>
              </w:rPr>
              <w:t xml:space="preserve"> (1996) as parameterized by EPRI (2004)</w:t>
            </w:r>
          </w:p>
        </w:tc>
        <w:tc>
          <w:tcPr>
            <w:tcW w:w="3686" w:type="dxa"/>
            <w:shd w:val="clear" w:color="auto" w:fill="auto"/>
          </w:tcPr>
          <w:p w14:paraId="57982093" w14:textId="77777777" w:rsidR="004C5428" w:rsidRPr="00927BAD" w:rsidRDefault="004C5428" w:rsidP="00DA1B47">
            <w:pPr>
              <w:spacing w:after="0" w:line="240" w:lineRule="auto"/>
              <w:jc w:val="both"/>
              <w:rPr>
                <w:rFonts w:cs="Times New Roman"/>
                <w:sz w:val="20"/>
                <w:szCs w:val="20"/>
              </w:rPr>
            </w:pPr>
            <w:r w:rsidRPr="00927BAD">
              <w:rPr>
                <w:rFonts w:eastAsia="Calibri" w:cs="Times New Roman"/>
                <w:sz w:val="20"/>
                <w:szCs w:val="20"/>
              </w:rPr>
              <w:t>Stochastic model for eastern North America</w:t>
            </w:r>
          </w:p>
        </w:tc>
        <w:tc>
          <w:tcPr>
            <w:tcW w:w="1150" w:type="dxa"/>
          </w:tcPr>
          <w:p w14:paraId="0226830B" w14:textId="77777777" w:rsidR="004C5428" w:rsidRPr="00927BAD" w:rsidRDefault="004C5428" w:rsidP="00DA1B47">
            <w:pPr>
              <w:spacing w:after="0" w:line="240" w:lineRule="auto"/>
              <w:jc w:val="both"/>
              <w:rPr>
                <w:rFonts w:eastAsia="Calibri" w:cs="Times New Roman"/>
                <w:sz w:val="20"/>
                <w:szCs w:val="20"/>
              </w:rPr>
            </w:pPr>
            <w:r w:rsidRPr="00927BAD">
              <w:rPr>
                <w:rFonts w:eastAsia="Calibri" w:cs="Times New Roman"/>
                <w:sz w:val="20"/>
                <w:szCs w:val="20"/>
              </w:rPr>
              <w:t>5 - 8</w:t>
            </w:r>
          </w:p>
        </w:tc>
        <w:tc>
          <w:tcPr>
            <w:tcW w:w="1134" w:type="dxa"/>
          </w:tcPr>
          <w:p w14:paraId="1A7DF618" w14:textId="77777777" w:rsidR="004C5428" w:rsidRPr="00927BAD" w:rsidRDefault="004C5428" w:rsidP="00DA1B47">
            <w:pPr>
              <w:spacing w:after="0" w:line="240" w:lineRule="auto"/>
              <w:jc w:val="both"/>
              <w:rPr>
                <w:rFonts w:eastAsia="Calibri" w:cs="Times New Roman"/>
                <w:sz w:val="20"/>
                <w:szCs w:val="20"/>
              </w:rPr>
            </w:pPr>
            <w:r w:rsidRPr="00927BAD">
              <w:rPr>
                <w:rFonts w:eastAsia="Calibri" w:cs="Times New Roman"/>
                <w:sz w:val="20"/>
                <w:szCs w:val="20"/>
              </w:rPr>
              <w:t>1 - 300</w:t>
            </w:r>
          </w:p>
        </w:tc>
      </w:tr>
      <w:tr w:rsidR="004C5428" w:rsidRPr="00927BAD" w14:paraId="57D4FB36" w14:textId="77777777" w:rsidTr="005E75CA">
        <w:trPr>
          <w:jc w:val="center"/>
        </w:trPr>
        <w:tc>
          <w:tcPr>
            <w:tcW w:w="549" w:type="dxa"/>
            <w:shd w:val="clear" w:color="auto" w:fill="auto"/>
          </w:tcPr>
          <w:p w14:paraId="3327CDAE"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6</w:t>
            </w:r>
          </w:p>
        </w:tc>
        <w:tc>
          <w:tcPr>
            <w:tcW w:w="2423" w:type="dxa"/>
            <w:shd w:val="clear" w:color="auto" w:fill="auto"/>
          </w:tcPr>
          <w:p w14:paraId="190A6D8C" w14:textId="0D57A4A5" w:rsidR="004C5428" w:rsidRPr="00927BAD" w:rsidRDefault="004C5428" w:rsidP="006201C5">
            <w:pPr>
              <w:spacing w:after="0" w:line="240" w:lineRule="auto"/>
              <w:jc w:val="both"/>
              <w:rPr>
                <w:rFonts w:cs="Times New Roman"/>
                <w:sz w:val="20"/>
                <w:szCs w:val="20"/>
              </w:rPr>
            </w:pPr>
            <w:r w:rsidRPr="00927BAD">
              <w:rPr>
                <w:rFonts w:eastAsia="Calibri" w:cs="Times New Roman"/>
                <w:sz w:val="20"/>
                <w:szCs w:val="20"/>
              </w:rPr>
              <w:t>Akkar et al</w:t>
            </w:r>
            <w:r w:rsidRPr="00927BAD">
              <w:rPr>
                <w:rFonts w:eastAsia="Calibri" w:cs="Times New Roman"/>
                <w:i/>
                <w:sz w:val="20"/>
                <w:szCs w:val="20"/>
              </w:rPr>
              <w:t>.,</w:t>
            </w:r>
            <w:r w:rsidRPr="00927BAD">
              <w:rPr>
                <w:rFonts w:eastAsia="Calibri" w:cs="Times New Roman"/>
                <w:sz w:val="20"/>
                <w:szCs w:val="20"/>
              </w:rPr>
              <w:t xml:space="preserve"> (2014)</w:t>
            </w:r>
          </w:p>
        </w:tc>
        <w:tc>
          <w:tcPr>
            <w:tcW w:w="3686" w:type="dxa"/>
            <w:shd w:val="clear" w:color="auto" w:fill="auto"/>
          </w:tcPr>
          <w:p w14:paraId="40194576" w14:textId="77777777" w:rsidR="004C5428" w:rsidRPr="00927BAD" w:rsidRDefault="004C5428" w:rsidP="00DA1B47">
            <w:pPr>
              <w:spacing w:after="0" w:line="240" w:lineRule="auto"/>
              <w:jc w:val="both"/>
              <w:rPr>
                <w:rFonts w:cs="Times New Roman"/>
                <w:sz w:val="20"/>
                <w:szCs w:val="20"/>
              </w:rPr>
            </w:pPr>
            <w:r w:rsidRPr="00927BAD">
              <w:rPr>
                <w:rFonts w:eastAsia="Calibri" w:cs="Times New Roman"/>
                <w:sz w:val="20"/>
                <w:szCs w:val="20"/>
              </w:rPr>
              <w:t>Europe and Middle East (SAC)</w:t>
            </w:r>
          </w:p>
        </w:tc>
        <w:tc>
          <w:tcPr>
            <w:tcW w:w="1150" w:type="dxa"/>
          </w:tcPr>
          <w:p w14:paraId="248AA326"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4-8</w:t>
            </w:r>
          </w:p>
        </w:tc>
        <w:tc>
          <w:tcPr>
            <w:tcW w:w="1134" w:type="dxa"/>
          </w:tcPr>
          <w:p w14:paraId="75A1B621"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1 - 300</w:t>
            </w:r>
          </w:p>
        </w:tc>
      </w:tr>
      <w:tr w:rsidR="004C5428" w:rsidRPr="00927BAD" w14:paraId="7BF284B0" w14:textId="77777777" w:rsidTr="005E75CA">
        <w:trPr>
          <w:jc w:val="center"/>
        </w:trPr>
        <w:tc>
          <w:tcPr>
            <w:tcW w:w="549" w:type="dxa"/>
            <w:shd w:val="clear" w:color="auto" w:fill="auto"/>
          </w:tcPr>
          <w:p w14:paraId="20B61DC3"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lastRenderedPageBreak/>
              <w:t>7</w:t>
            </w:r>
          </w:p>
        </w:tc>
        <w:tc>
          <w:tcPr>
            <w:tcW w:w="2423" w:type="dxa"/>
            <w:shd w:val="clear" w:color="auto" w:fill="auto"/>
          </w:tcPr>
          <w:p w14:paraId="05A07ED6" w14:textId="77777777" w:rsidR="004C5428" w:rsidRPr="00927BAD" w:rsidRDefault="004C5428" w:rsidP="006201C5">
            <w:pPr>
              <w:spacing w:after="0" w:line="240" w:lineRule="auto"/>
              <w:jc w:val="both"/>
              <w:rPr>
                <w:rFonts w:cs="Times New Roman"/>
                <w:sz w:val="20"/>
                <w:szCs w:val="20"/>
              </w:rPr>
            </w:pPr>
            <w:r w:rsidRPr="00927BAD">
              <w:rPr>
                <w:rFonts w:eastAsia="Calibri" w:cs="Times New Roman"/>
                <w:sz w:val="20"/>
                <w:szCs w:val="20"/>
              </w:rPr>
              <w:t>Silva et al</w:t>
            </w:r>
            <w:r w:rsidRPr="00927BAD">
              <w:rPr>
                <w:rFonts w:eastAsia="Calibri" w:cs="Times New Roman"/>
                <w:i/>
                <w:sz w:val="20"/>
                <w:szCs w:val="20"/>
              </w:rPr>
              <w:t>.</w:t>
            </w:r>
            <w:r w:rsidRPr="00927BAD">
              <w:rPr>
                <w:rFonts w:eastAsia="Calibri" w:cs="Times New Roman"/>
                <w:sz w:val="20"/>
                <w:szCs w:val="20"/>
              </w:rPr>
              <w:t xml:space="preserve"> (2002)</w:t>
            </w:r>
          </w:p>
        </w:tc>
        <w:tc>
          <w:tcPr>
            <w:tcW w:w="3686" w:type="dxa"/>
            <w:shd w:val="clear" w:color="auto" w:fill="auto"/>
          </w:tcPr>
          <w:p w14:paraId="792E85AC" w14:textId="77777777" w:rsidR="004C5428" w:rsidRPr="00927BAD" w:rsidRDefault="004C5428" w:rsidP="00DA1B47">
            <w:pPr>
              <w:spacing w:after="0" w:line="240" w:lineRule="auto"/>
              <w:jc w:val="both"/>
              <w:rPr>
                <w:rFonts w:cs="Times New Roman"/>
                <w:sz w:val="20"/>
                <w:szCs w:val="20"/>
              </w:rPr>
            </w:pPr>
            <w:r w:rsidRPr="00927BAD">
              <w:rPr>
                <w:rFonts w:eastAsia="Calibri" w:cs="Times New Roman"/>
                <w:sz w:val="20"/>
                <w:szCs w:val="20"/>
              </w:rPr>
              <w:t>Stochastic model for eastern North America (SCR)</w:t>
            </w:r>
          </w:p>
        </w:tc>
        <w:tc>
          <w:tcPr>
            <w:tcW w:w="1150" w:type="dxa"/>
          </w:tcPr>
          <w:p w14:paraId="08CAFE97" w14:textId="77777777" w:rsidR="004C5428" w:rsidRPr="00927BAD" w:rsidRDefault="004C5428" w:rsidP="00DA1B47">
            <w:pPr>
              <w:spacing w:after="0" w:line="240" w:lineRule="auto"/>
              <w:jc w:val="both"/>
              <w:rPr>
                <w:rFonts w:eastAsia="Calibri" w:cs="Times New Roman"/>
                <w:sz w:val="20"/>
                <w:szCs w:val="20"/>
              </w:rPr>
            </w:pPr>
            <w:r w:rsidRPr="00927BAD">
              <w:rPr>
                <w:rFonts w:eastAsia="Calibri" w:cs="Times New Roman"/>
                <w:sz w:val="20"/>
                <w:szCs w:val="20"/>
              </w:rPr>
              <w:t>4.5 – 8.5</w:t>
            </w:r>
          </w:p>
        </w:tc>
        <w:tc>
          <w:tcPr>
            <w:tcW w:w="1134" w:type="dxa"/>
          </w:tcPr>
          <w:p w14:paraId="6E9597EE" w14:textId="77777777" w:rsidR="004C5428" w:rsidRPr="00927BAD" w:rsidRDefault="004C5428" w:rsidP="00DA1B47">
            <w:pPr>
              <w:spacing w:after="0" w:line="240" w:lineRule="auto"/>
              <w:jc w:val="both"/>
              <w:rPr>
                <w:rFonts w:eastAsia="Calibri" w:cs="Times New Roman"/>
                <w:sz w:val="20"/>
                <w:szCs w:val="20"/>
              </w:rPr>
            </w:pPr>
            <w:r w:rsidRPr="00927BAD">
              <w:rPr>
                <w:rFonts w:eastAsia="Calibri" w:cs="Times New Roman"/>
                <w:sz w:val="20"/>
                <w:szCs w:val="20"/>
              </w:rPr>
              <w:t>1 - 400</w:t>
            </w:r>
          </w:p>
        </w:tc>
      </w:tr>
      <w:tr w:rsidR="004C5428" w:rsidRPr="00927BAD" w14:paraId="13CDD106" w14:textId="77777777" w:rsidTr="005E75CA">
        <w:trPr>
          <w:jc w:val="center"/>
        </w:trPr>
        <w:tc>
          <w:tcPr>
            <w:tcW w:w="549" w:type="dxa"/>
            <w:shd w:val="clear" w:color="auto" w:fill="auto"/>
          </w:tcPr>
          <w:p w14:paraId="21D93E43"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8</w:t>
            </w:r>
          </w:p>
        </w:tc>
        <w:tc>
          <w:tcPr>
            <w:tcW w:w="2423" w:type="dxa"/>
            <w:shd w:val="clear" w:color="auto" w:fill="auto"/>
          </w:tcPr>
          <w:p w14:paraId="26366097" w14:textId="77777777" w:rsidR="004C5428" w:rsidRPr="00927BAD" w:rsidRDefault="004C5428" w:rsidP="006201C5">
            <w:pPr>
              <w:spacing w:after="0" w:line="240" w:lineRule="auto"/>
              <w:jc w:val="both"/>
              <w:rPr>
                <w:rFonts w:cs="Times New Roman"/>
                <w:sz w:val="20"/>
                <w:szCs w:val="20"/>
              </w:rPr>
            </w:pPr>
            <w:r w:rsidRPr="00927BAD">
              <w:rPr>
                <w:rFonts w:eastAsia="Calibri" w:cs="Times New Roman"/>
                <w:sz w:val="20"/>
                <w:szCs w:val="20"/>
              </w:rPr>
              <w:t xml:space="preserve">Pezeshk </w:t>
            </w:r>
            <w:r w:rsidRPr="00927BAD">
              <w:rPr>
                <w:rFonts w:eastAsia="Calibri" w:cs="Times New Roman"/>
                <w:i/>
                <w:sz w:val="20"/>
                <w:szCs w:val="20"/>
              </w:rPr>
              <w:t xml:space="preserve">et al. </w:t>
            </w:r>
            <w:r w:rsidRPr="00927BAD">
              <w:rPr>
                <w:rFonts w:eastAsia="Calibri" w:cs="Times New Roman"/>
                <w:sz w:val="20"/>
                <w:szCs w:val="20"/>
              </w:rPr>
              <w:t>(2011)</w:t>
            </w:r>
          </w:p>
        </w:tc>
        <w:tc>
          <w:tcPr>
            <w:tcW w:w="3686" w:type="dxa"/>
            <w:shd w:val="clear" w:color="auto" w:fill="auto"/>
          </w:tcPr>
          <w:p w14:paraId="0F2448F1" w14:textId="77777777" w:rsidR="004C5428" w:rsidRPr="00927BAD" w:rsidRDefault="004C5428" w:rsidP="00DA1B47">
            <w:pPr>
              <w:spacing w:after="0" w:line="240" w:lineRule="auto"/>
              <w:jc w:val="both"/>
              <w:rPr>
                <w:rFonts w:cs="Times New Roman"/>
                <w:sz w:val="20"/>
                <w:szCs w:val="20"/>
              </w:rPr>
            </w:pPr>
            <w:r w:rsidRPr="00927BAD">
              <w:rPr>
                <w:rFonts w:eastAsia="Calibri" w:cs="Times New Roman"/>
                <w:sz w:val="20"/>
                <w:szCs w:val="20"/>
              </w:rPr>
              <w:t>Hybrid model for eastern North America (SCR)</w:t>
            </w:r>
          </w:p>
        </w:tc>
        <w:tc>
          <w:tcPr>
            <w:tcW w:w="1150" w:type="dxa"/>
          </w:tcPr>
          <w:p w14:paraId="7E0EEEFC"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5-8</w:t>
            </w:r>
          </w:p>
        </w:tc>
        <w:tc>
          <w:tcPr>
            <w:tcW w:w="1134" w:type="dxa"/>
          </w:tcPr>
          <w:p w14:paraId="1DF3248C"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1-1000</w:t>
            </w:r>
          </w:p>
        </w:tc>
      </w:tr>
      <w:tr w:rsidR="004C5428" w:rsidRPr="00927BAD" w14:paraId="036200EC" w14:textId="77777777" w:rsidTr="005E75CA">
        <w:trPr>
          <w:jc w:val="center"/>
        </w:trPr>
        <w:tc>
          <w:tcPr>
            <w:tcW w:w="549" w:type="dxa"/>
            <w:shd w:val="clear" w:color="auto" w:fill="auto"/>
          </w:tcPr>
          <w:p w14:paraId="59D89591"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9</w:t>
            </w:r>
          </w:p>
        </w:tc>
        <w:tc>
          <w:tcPr>
            <w:tcW w:w="2423" w:type="dxa"/>
            <w:shd w:val="clear" w:color="auto" w:fill="auto"/>
          </w:tcPr>
          <w:p w14:paraId="64EEB2F7" w14:textId="77777777" w:rsidR="004C5428" w:rsidRPr="00927BAD" w:rsidRDefault="004C5428" w:rsidP="006201C5">
            <w:pPr>
              <w:spacing w:after="0" w:line="240" w:lineRule="auto"/>
              <w:jc w:val="both"/>
              <w:rPr>
                <w:rFonts w:cs="Times New Roman"/>
                <w:sz w:val="20"/>
                <w:szCs w:val="20"/>
              </w:rPr>
            </w:pPr>
            <w:r w:rsidRPr="00927BAD">
              <w:rPr>
                <w:rFonts w:eastAsia="Calibri" w:cs="Times New Roman"/>
                <w:sz w:val="20"/>
                <w:szCs w:val="20"/>
              </w:rPr>
              <w:t>Toro et al</w:t>
            </w:r>
            <w:r w:rsidRPr="00927BAD">
              <w:rPr>
                <w:rFonts w:eastAsia="Calibri" w:cs="Times New Roman"/>
                <w:i/>
                <w:sz w:val="20"/>
                <w:szCs w:val="20"/>
              </w:rPr>
              <w:t>.</w:t>
            </w:r>
            <w:r w:rsidRPr="00927BAD">
              <w:rPr>
                <w:rFonts w:eastAsia="Calibri" w:cs="Times New Roman"/>
                <w:sz w:val="20"/>
                <w:szCs w:val="20"/>
              </w:rPr>
              <w:t xml:space="preserve"> (1997) modified by Toro (2002)</w:t>
            </w:r>
          </w:p>
        </w:tc>
        <w:tc>
          <w:tcPr>
            <w:tcW w:w="3686" w:type="dxa"/>
            <w:shd w:val="clear" w:color="auto" w:fill="auto"/>
          </w:tcPr>
          <w:p w14:paraId="34549F06" w14:textId="77777777" w:rsidR="004C5428" w:rsidRPr="00927BAD" w:rsidRDefault="004C5428" w:rsidP="00DA1B47">
            <w:pPr>
              <w:spacing w:after="0" w:line="240" w:lineRule="auto"/>
              <w:jc w:val="both"/>
              <w:rPr>
                <w:rFonts w:cs="Times New Roman"/>
                <w:sz w:val="20"/>
                <w:szCs w:val="20"/>
              </w:rPr>
            </w:pPr>
            <w:r w:rsidRPr="00927BAD">
              <w:rPr>
                <w:rFonts w:eastAsia="Calibri" w:cs="Times New Roman"/>
                <w:sz w:val="20"/>
                <w:szCs w:val="20"/>
              </w:rPr>
              <w:t>Stochastic model for eastern North America (SCR)</w:t>
            </w:r>
          </w:p>
        </w:tc>
        <w:tc>
          <w:tcPr>
            <w:tcW w:w="1150" w:type="dxa"/>
          </w:tcPr>
          <w:p w14:paraId="2D65753C"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5 - 8</w:t>
            </w:r>
          </w:p>
        </w:tc>
        <w:tc>
          <w:tcPr>
            <w:tcW w:w="1134" w:type="dxa"/>
          </w:tcPr>
          <w:p w14:paraId="284F4049"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1 - 100</w:t>
            </w:r>
          </w:p>
        </w:tc>
      </w:tr>
      <w:tr w:rsidR="004C5428" w:rsidRPr="00927BAD" w14:paraId="466637C5" w14:textId="77777777" w:rsidTr="005E75CA">
        <w:trPr>
          <w:jc w:val="center"/>
        </w:trPr>
        <w:tc>
          <w:tcPr>
            <w:tcW w:w="549" w:type="dxa"/>
            <w:shd w:val="clear" w:color="auto" w:fill="auto"/>
          </w:tcPr>
          <w:p w14:paraId="61CA0D63"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10</w:t>
            </w:r>
          </w:p>
        </w:tc>
        <w:tc>
          <w:tcPr>
            <w:tcW w:w="2423" w:type="dxa"/>
            <w:shd w:val="clear" w:color="auto" w:fill="auto"/>
          </w:tcPr>
          <w:p w14:paraId="1F707CE3" w14:textId="77777777" w:rsidR="004C5428" w:rsidRPr="00927BAD" w:rsidRDefault="004C5428" w:rsidP="006201C5">
            <w:pPr>
              <w:spacing w:after="0" w:line="240" w:lineRule="auto"/>
              <w:jc w:val="both"/>
              <w:rPr>
                <w:rFonts w:eastAsia="Calibri" w:cs="Times New Roman"/>
                <w:sz w:val="20"/>
                <w:szCs w:val="20"/>
              </w:rPr>
            </w:pPr>
            <w:r w:rsidRPr="00927BAD">
              <w:rPr>
                <w:rFonts w:eastAsia="Calibri" w:cs="Times New Roman"/>
                <w:sz w:val="20"/>
                <w:szCs w:val="20"/>
              </w:rPr>
              <w:t>Atkinson (2015)</w:t>
            </w:r>
          </w:p>
        </w:tc>
        <w:tc>
          <w:tcPr>
            <w:tcW w:w="3686" w:type="dxa"/>
            <w:shd w:val="clear" w:color="auto" w:fill="auto"/>
          </w:tcPr>
          <w:p w14:paraId="3973D5D9" w14:textId="77777777" w:rsidR="004C5428" w:rsidRPr="00927BAD" w:rsidRDefault="004C5428" w:rsidP="00DA1B47">
            <w:pPr>
              <w:spacing w:after="0" w:line="240" w:lineRule="auto"/>
              <w:jc w:val="both"/>
              <w:rPr>
                <w:rFonts w:eastAsia="Calibri" w:cs="Times New Roman"/>
                <w:sz w:val="20"/>
                <w:szCs w:val="20"/>
              </w:rPr>
            </w:pPr>
            <w:r w:rsidRPr="00927BAD">
              <w:rPr>
                <w:rFonts w:eastAsia="Calibri" w:cs="Times New Roman"/>
                <w:sz w:val="20"/>
                <w:szCs w:val="20"/>
              </w:rPr>
              <w:t>Small to medium events at short distance (ISR)</w:t>
            </w:r>
          </w:p>
        </w:tc>
        <w:tc>
          <w:tcPr>
            <w:tcW w:w="1150" w:type="dxa"/>
          </w:tcPr>
          <w:p w14:paraId="2BDFC751" w14:textId="77777777" w:rsidR="004C5428" w:rsidRPr="00927BAD" w:rsidRDefault="004C5428" w:rsidP="00DA1B47">
            <w:pPr>
              <w:pStyle w:val="ListParagraph"/>
              <w:numPr>
                <w:ilvl w:val="0"/>
                <w:numId w:val="2"/>
              </w:numPr>
              <w:spacing w:after="0" w:line="240" w:lineRule="auto"/>
              <w:ind w:left="172" w:hanging="172"/>
              <w:jc w:val="both"/>
              <w:rPr>
                <w:rFonts w:cs="Times New Roman"/>
                <w:sz w:val="20"/>
                <w:szCs w:val="20"/>
              </w:rPr>
            </w:pPr>
            <w:r w:rsidRPr="00927BAD">
              <w:rPr>
                <w:rFonts w:cs="Times New Roman"/>
                <w:sz w:val="20"/>
                <w:szCs w:val="20"/>
              </w:rPr>
              <w:t>- 6</w:t>
            </w:r>
          </w:p>
        </w:tc>
        <w:tc>
          <w:tcPr>
            <w:tcW w:w="1134" w:type="dxa"/>
          </w:tcPr>
          <w:p w14:paraId="42EE2DF7" w14:textId="77777777" w:rsidR="004C5428" w:rsidRPr="00927BAD" w:rsidRDefault="004C5428" w:rsidP="00DA1B47">
            <w:pPr>
              <w:spacing w:after="0" w:line="240" w:lineRule="auto"/>
              <w:jc w:val="both"/>
              <w:rPr>
                <w:rFonts w:cs="Times New Roman"/>
                <w:sz w:val="20"/>
                <w:szCs w:val="20"/>
              </w:rPr>
            </w:pPr>
            <w:r w:rsidRPr="00927BAD">
              <w:rPr>
                <w:rFonts w:cs="Times New Roman"/>
                <w:sz w:val="20"/>
                <w:szCs w:val="20"/>
              </w:rPr>
              <w:t>5 - 40</w:t>
            </w:r>
          </w:p>
        </w:tc>
      </w:tr>
    </w:tbl>
    <w:p w14:paraId="5A764EA4" w14:textId="77777777" w:rsidR="004C5428" w:rsidRPr="00927BAD" w:rsidRDefault="004C5428" w:rsidP="00DA1B47">
      <w:pPr>
        <w:spacing w:line="240" w:lineRule="auto"/>
        <w:jc w:val="both"/>
        <w:rPr>
          <w:rFonts w:cs="Times New Roman"/>
          <w:sz w:val="20"/>
          <w:szCs w:val="20"/>
        </w:rPr>
      </w:pPr>
    </w:p>
    <w:p w14:paraId="07B3CDC3" w14:textId="4D2D2730" w:rsidR="004C5428" w:rsidRPr="00927BAD" w:rsidRDefault="004C5428" w:rsidP="00C9156C">
      <w:pPr>
        <w:autoSpaceDE w:val="0"/>
        <w:autoSpaceDN w:val="0"/>
        <w:adjustRightInd w:val="0"/>
        <w:spacing w:line="240" w:lineRule="auto"/>
        <w:ind w:firstLine="720"/>
        <w:jc w:val="both"/>
        <w:rPr>
          <w:rFonts w:eastAsia="Times New Roman" w:cs="Times New Roman"/>
          <w:sz w:val="20"/>
          <w:szCs w:val="20"/>
        </w:rPr>
      </w:pPr>
      <w:bookmarkStart w:id="5" w:name="_Toc414282534"/>
      <w:r w:rsidRPr="00927BAD">
        <w:rPr>
          <w:rFonts w:eastAsia="Times New Roman" w:cs="Times New Roman"/>
          <w:sz w:val="20"/>
          <w:szCs w:val="20"/>
        </w:rPr>
        <w:t>A database of 61 seismic events (</w:t>
      </w:r>
      <w:r w:rsidRPr="00927BAD">
        <w:rPr>
          <w:rFonts w:eastAsia="Times New Roman" w:cs="Times New Roman"/>
          <w:sz w:val="20"/>
          <w:szCs w:val="20"/>
        </w:rPr>
        <w:fldChar w:fldCharType="begin"/>
      </w:r>
      <w:r w:rsidRPr="00927BAD">
        <w:rPr>
          <w:rFonts w:eastAsia="Times New Roman" w:cs="Times New Roman"/>
          <w:sz w:val="20"/>
          <w:szCs w:val="20"/>
        </w:rPr>
        <w:instrText xml:space="preserve"> REF _Ref37710493 \h  \* MERGEFORMAT </w:instrText>
      </w:r>
      <w:r w:rsidRPr="00927BAD">
        <w:rPr>
          <w:rFonts w:eastAsia="Times New Roman" w:cs="Times New Roman"/>
          <w:sz w:val="20"/>
          <w:szCs w:val="20"/>
        </w:rPr>
      </w:r>
      <w:r w:rsidRPr="00927BAD">
        <w:rPr>
          <w:rFonts w:eastAsia="Times New Roman" w:cs="Times New Roman"/>
          <w:sz w:val="20"/>
          <w:szCs w:val="20"/>
        </w:rPr>
        <w:fldChar w:fldCharType="separate"/>
      </w:r>
      <w:r w:rsidR="00F134E0" w:rsidRPr="00927BAD">
        <w:rPr>
          <w:rFonts w:cs="Times New Roman"/>
          <w:sz w:val="20"/>
          <w:szCs w:val="20"/>
        </w:rPr>
        <w:t xml:space="preserve">Figure </w:t>
      </w:r>
      <w:r w:rsidR="00F134E0" w:rsidRPr="00927BAD">
        <w:rPr>
          <w:rFonts w:cs="Times New Roman"/>
          <w:noProof/>
          <w:sz w:val="20"/>
          <w:szCs w:val="20"/>
        </w:rPr>
        <w:t>1</w:t>
      </w:r>
      <w:r w:rsidRPr="00927BAD">
        <w:rPr>
          <w:rFonts w:eastAsia="Times New Roman" w:cs="Times New Roman"/>
          <w:sz w:val="20"/>
          <w:szCs w:val="20"/>
        </w:rPr>
        <w:fldChar w:fldCharType="end"/>
      </w:r>
      <w:r w:rsidRPr="00927BAD">
        <w:rPr>
          <w:rFonts w:eastAsia="Times New Roman" w:cs="Times New Roman"/>
          <w:sz w:val="20"/>
          <w:szCs w:val="20"/>
        </w:rPr>
        <w:t xml:space="preserve">) was compiled from the South African mining Cluster Networks for use in the testing of the GMPEs. </w:t>
      </w:r>
      <w:r w:rsidR="00F7010D" w:rsidRPr="00927BAD">
        <w:rPr>
          <w:rFonts w:eastAsia="Times New Roman" w:cs="Times New Roman"/>
          <w:sz w:val="20"/>
          <w:szCs w:val="20"/>
        </w:rPr>
        <w:t>O</w:t>
      </w:r>
      <w:r w:rsidRPr="00927BAD">
        <w:rPr>
          <w:rFonts w:eastAsia="Times New Roman" w:cs="Times New Roman"/>
          <w:sz w:val="20"/>
          <w:szCs w:val="20"/>
        </w:rPr>
        <w:t>ur dataset is mainly composed of mining</w:t>
      </w:r>
      <w:r w:rsidR="009F5A41">
        <w:rPr>
          <w:rFonts w:eastAsia="Times New Roman" w:cs="Times New Roman"/>
          <w:sz w:val="20"/>
          <w:szCs w:val="20"/>
        </w:rPr>
        <w:t>-</w:t>
      </w:r>
      <w:r w:rsidRPr="00927BAD">
        <w:rPr>
          <w:rFonts w:eastAsia="Times New Roman" w:cs="Times New Roman"/>
          <w:sz w:val="20"/>
          <w:szCs w:val="20"/>
        </w:rPr>
        <w:t>related events. However, according to Douglas et al. (2013) and Atkinson (2015), ground motion from natural and induced sources are indistinguishable. Therefore, we</w:t>
      </w:r>
      <w:r w:rsidR="00F7010D" w:rsidRPr="00927BAD">
        <w:rPr>
          <w:rFonts w:eastAsia="Times New Roman" w:cs="Times New Roman"/>
          <w:sz w:val="20"/>
          <w:szCs w:val="20"/>
        </w:rPr>
        <w:t xml:space="preserve"> also included GMPEs derived from natural earthquake sources</w:t>
      </w:r>
      <w:r w:rsidR="009F5A41">
        <w:rPr>
          <w:rFonts w:eastAsia="Times New Roman" w:cs="Times New Roman"/>
          <w:sz w:val="20"/>
          <w:szCs w:val="20"/>
        </w:rPr>
        <w:t xml:space="preserve"> in this study</w:t>
      </w:r>
      <w:r w:rsidRPr="00927BAD">
        <w:rPr>
          <w:rFonts w:eastAsia="Times New Roman" w:cs="Times New Roman"/>
          <w:sz w:val="20"/>
          <w:szCs w:val="20"/>
        </w:rPr>
        <w:t xml:space="preserve">. </w:t>
      </w:r>
    </w:p>
    <w:p w14:paraId="17E95FB3" w14:textId="1488ED8B" w:rsidR="004C5428" w:rsidRPr="00927BAD" w:rsidRDefault="004C5428" w:rsidP="005E75CA">
      <w:pPr>
        <w:autoSpaceDE w:val="0"/>
        <w:autoSpaceDN w:val="0"/>
        <w:adjustRightInd w:val="0"/>
        <w:spacing w:line="240" w:lineRule="auto"/>
        <w:jc w:val="center"/>
        <w:rPr>
          <w:rFonts w:cs="Times New Roman"/>
          <w:sz w:val="20"/>
          <w:szCs w:val="20"/>
        </w:rPr>
      </w:pPr>
      <w:r w:rsidRPr="00927BAD">
        <w:rPr>
          <w:rFonts w:cs="Times New Roman"/>
          <w:noProof/>
          <w:sz w:val="20"/>
          <w:szCs w:val="20"/>
          <w:lang w:val="en-ZW" w:eastAsia="en-ZW"/>
        </w:rPr>
        <w:drawing>
          <wp:inline distT="0" distB="0" distL="0" distR="0" wp14:anchorId="7B2BE8DE" wp14:editId="5E9177DF">
            <wp:extent cx="3562411" cy="2179320"/>
            <wp:effectExtent l="0" t="0" r="0" b="0"/>
            <wp:docPr id="21" name="Picture 21" descr="E:\GIS_DATABASE\PHD\Figures\GMPEs\val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GIS_DATABASE\PHD\Figures\GMPEs\valu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3970" cy="2180274"/>
                    </a:xfrm>
                    <a:prstGeom prst="rect">
                      <a:avLst/>
                    </a:prstGeom>
                    <a:noFill/>
                    <a:ln>
                      <a:noFill/>
                    </a:ln>
                  </pic:spPr>
                </pic:pic>
              </a:graphicData>
            </a:graphic>
          </wp:inline>
        </w:drawing>
      </w:r>
    </w:p>
    <w:p w14:paraId="6F090FCB" w14:textId="43B6682F" w:rsidR="004C5428" w:rsidRPr="00927BAD" w:rsidRDefault="004C5428" w:rsidP="005E75CA">
      <w:pPr>
        <w:pStyle w:val="Caption"/>
        <w:jc w:val="center"/>
        <w:rPr>
          <w:rFonts w:cs="Times New Roman"/>
          <w:b w:val="0"/>
          <w:color w:val="auto"/>
          <w:sz w:val="20"/>
          <w:szCs w:val="20"/>
        </w:rPr>
      </w:pPr>
      <w:bookmarkStart w:id="6" w:name="_Ref37710493"/>
      <w:bookmarkStart w:id="7" w:name="_Toc414282532"/>
      <w:bookmarkStart w:id="8" w:name="_Toc69136517"/>
      <w:r w:rsidRPr="00744F1E">
        <w:rPr>
          <w:rFonts w:cs="Times New Roman"/>
          <w:b w:val="0"/>
          <w:color w:val="auto"/>
          <w:sz w:val="20"/>
          <w:szCs w:val="20"/>
        </w:rPr>
        <w:t xml:space="preserve">Figure </w:t>
      </w:r>
      <w:r w:rsidR="002F3BD5" w:rsidRPr="00744F1E">
        <w:rPr>
          <w:rFonts w:cs="Times New Roman"/>
          <w:b w:val="0"/>
          <w:color w:val="auto"/>
          <w:sz w:val="20"/>
          <w:szCs w:val="20"/>
        </w:rPr>
        <w:fldChar w:fldCharType="begin"/>
      </w:r>
      <w:r w:rsidR="002F3BD5" w:rsidRPr="00744F1E">
        <w:rPr>
          <w:rFonts w:cs="Times New Roman"/>
          <w:b w:val="0"/>
          <w:color w:val="auto"/>
          <w:sz w:val="20"/>
          <w:szCs w:val="20"/>
        </w:rPr>
        <w:instrText xml:space="preserve"> SEQ Figure \* ARABIC </w:instrText>
      </w:r>
      <w:r w:rsidR="002F3BD5" w:rsidRPr="00744F1E">
        <w:rPr>
          <w:rFonts w:cs="Times New Roman"/>
          <w:b w:val="0"/>
          <w:color w:val="auto"/>
          <w:sz w:val="20"/>
          <w:szCs w:val="20"/>
        </w:rPr>
        <w:fldChar w:fldCharType="separate"/>
      </w:r>
      <w:r w:rsidR="002F3BD5" w:rsidRPr="00744F1E">
        <w:rPr>
          <w:rFonts w:cs="Times New Roman"/>
          <w:b w:val="0"/>
          <w:noProof/>
          <w:color w:val="auto"/>
          <w:sz w:val="20"/>
          <w:szCs w:val="20"/>
        </w:rPr>
        <w:t>1</w:t>
      </w:r>
      <w:r w:rsidR="002F3BD5" w:rsidRPr="00744F1E">
        <w:rPr>
          <w:rFonts w:cs="Times New Roman"/>
          <w:b w:val="0"/>
          <w:color w:val="auto"/>
          <w:sz w:val="20"/>
          <w:szCs w:val="20"/>
        </w:rPr>
        <w:fldChar w:fldCharType="end"/>
      </w:r>
      <w:bookmarkEnd w:id="6"/>
      <w:r w:rsidRPr="00744F1E">
        <w:rPr>
          <w:rFonts w:cs="Times New Roman"/>
          <w:b w:val="0"/>
          <w:color w:val="auto"/>
          <w:sz w:val="20"/>
          <w:szCs w:val="20"/>
        </w:rPr>
        <w:t>: Loc</w:t>
      </w:r>
      <w:r w:rsidRPr="00927BAD">
        <w:rPr>
          <w:rFonts w:cs="Times New Roman"/>
          <w:b w:val="0"/>
          <w:color w:val="auto"/>
          <w:sz w:val="20"/>
          <w:szCs w:val="20"/>
        </w:rPr>
        <w:t>ation of earthquakes used in the testing of GMPEs.</w:t>
      </w:r>
      <w:bookmarkEnd w:id="7"/>
      <w:r w:rsidRPr="00927BAD">
        <w:rPr>
          <w:rFonts w:cs="Times New Roman"/>
          <w:b w:val="0"/>
          <w:color w:val="auto"/>
          <w:sz w:val="20"/>
          <w:szCs w:val="20"/>
        </w:rPr>
        <w:t xml:space="preserve"> The figure shows the spatial distribution of the seismic events and the stations. Triangles represent the stations recording the events with each station having a V</w:t>
      </w:r>
      <w:r w:rsidRPr="00927BAD">
        <w:rPr>
          <w:rFonts w:cs="Times New Roman"/>
          <w:b w:val="0"/>
          <w:color w:val="auto"/>
          <w:sz w:val="20"/>
          <w:szCs w:val="20"/>
          <w:vertAlign w:val="subscript"/>
        </w:rPr>
        <w:t>s30</w:t>
      </w:r>
      <w:r w:rsidRPr="00927BAD">
        <w:rPr>
          <w:rFonts w:cs="Times New Roman"/>
          <w:b w:val="0"/>
          <w:color w:val="auto"/>
          <w:sz w:val="20"/>
          <w:szCs w:val="20"/>
        </w:rPr>
        <w:t xml:space="preserve"> value indicated with the </w:t>
      </w:r>
      <w:r w:rsidR="004B7773" w:rsidRPr="00927BAD">
        <w:rPr>
          <w:rFonts w:cs="Times New Roman"/>
          <w:b w:val="0"/>
          <w:color w:val="auto"/>
          <w:sz w:val="20"/>
          <w:szCs w:val="20"/>
        </w:rPr>
        <w:t>colour</w:t>
      </w:r>
      <w:r w:rsidRPr="00927BAD">
        <w:rPr>
          <w:rFonts w:cs="Times New Roman"/>
          <w:b w:val="0"/>
          <w:color w:val="auto"/>
          <w:sz w:val="20"/>
          <w:szCs w:val="20"/>
        </w:rPr>
        <w:t>; circles are the seismic events.</w:t>
      </w:r>
      <w:bookmarkEnd w:id="8"/>
    </w:p>
    <w:p w14:paraId="74AE7809" w14:textId="4AA0D2C7" w:rsidR="00927BAD" w:rsidRPr="00927BAD" w:rsidRDefault="00927BAD" w:rsidP="00927BAD">
      <w:pPr>
        <w:rPr>
          <w:rFonts w:cs="Times New Roman"/>
        </w:rPr>
      </w:pPr>
    </w:p>
    <w:p w14:paraId="49AFE0AC" w14:textId="47F8773E" w:rsidR="004C5428" w:rsidRPr="00927BAD" w:rsidRDefault="004C5428" w:rsidP="006201C5">
      <w:pPr>
        <w:autoSpaceDE w:val="0"/>
        <w:autoSpaceDN w:val="0"/>
        <w:adjustRightInd w:val="0"/>
        <w:spacing w:line="240" w:lineRule="auto"/>
        <w:ind w:firstLine="720"/>
        <w:jc w:val="both"/>
        <w:rPr>
          <w:rFonts w:eastAsia="Times New Roman" w:cs="Times New Roman"/>
          <w:sz w:val="20"/>
          <w:szCs w:val="20"/>
          <w:lang w:eastAsia="en-GB"/>
        </w:rPr>
      </w:pPr>
      <w:r w:rsidRPr="00927BAD">
        <w:rPr>
          <w:rFonts w:eastAsia="Times New Roman" w:cs="Times New Roman"/>
          <w:sz w:val="20"/>
          <w:szCs w:val="20"/>
        </w:rPr>
        <w:t xml:space="preserve">Only events with good waveform data </w:t>
      </w:r>
      <w:r w:rsidR="009F5A41">
        <w:rPr>
          <w:rFonts w:eastAsia="Times New Roman" w:cs="Times New Roman"/>
          <w:sz w:val="20"/>
          <w:szCs w:val="20"/>
        </w:rPr>
        <w:t>regarding</w:t>
      </w:r>
      <w:r w:rsidRPr="00927BAD">
        <w:rPr>
          <w:rFonts w:eastAsia="Times New Roman" w:cs="Times New Roman"/>
          <w:sz w:val="20"/>
          <w:szCs w:val="20"/>
        </w:rPr>
        <w:t xml:space="preserve"> signal</w:t>
      </w:r>
      <w:r w:rsidR="009F5A41">
        <w:rPr>
          <w:rFonts w:eastAsia="Times New Roman" w:cs="Times New Roman"/>
          <w:sz w:val="20"/>
          <w:szCs w:val="20"/>
        </w:rPr>
        <w:t>-</w:t>
      </w:r>
      <w:r w:rsidRPr="00927BAD">
        <w:rPr>
          <w:rFonts w:eastAsia="Times New Roman" w:cs="Times New Roman"/>
          <w:sz w:val="20"/>
          <w:szCs w:val="20"/>
        </w:rPr>
        <w:t>to</w:t>
      </w:r>
      <w:r w:rsidR="009F5A41">
        <w:rPr>
          <w:rFonts w:eastAsia="Times New Roman" w:cs="Times New Roman"/>
          <w:sz w:val="20"/>
          <w:szCs w:val="20"/>
        </w:rPr>
        <w:t>-</w:t>
      </w:r>
      <w:r w:rsidRPr="00927BAD">
        <w:rPr>
          <w:rFonts w:eastAsia="Times New Roman" w:cs="Times New Roman"/>
          <w:sz w:val="20"/>
          <w:szCs w:val="20"/>
        </w:rPr>
        <w:t xml:space="preserve">noise ratio and recorded by at least five stations were included. These contributed 2 018 two-component horizontal acceleration time series within a hypocentral distance range of </w:t>
      </w:r>
      <w:r w:rsidR="009D5E73" w:rsidRPr="00927BAD">
        <w:rPr>
          <w:rFonts w:eastAsia="Times New Roman" w:cs="Times New Roman"/>
          <w:sz w:val="20"/>
          <w:szCs w:val="20"/>
        </w:rPr>
        <w:t>0.8</w:t>
      </w:r>
      <w:r w:rsidRPr="00927BAD">
        <w:rPr>
          <w:rFonts w:eastAsia="Times New Roman" w:cs="Times New Roman"/>
          <w:sz w:val="20"/>
          <w:szCs w:val="20"/>
        </w:rPr>
        <w:t xml:space="preserve"> km to 350 km. The magnitude of the events ranged from 3.0 to 5.5. The various magnitude ranges of the events and </w:t>
      </w:r>
      <w:r w:rsidR="009F5A41">
        <w:rPr>
          <w:rFonts w:eastAsia="Times New Roman" w:cs="Times New Roman"/>
          <w:sz w:val="20"/>
          <w:szCs w:val="20"/>
        </w:rPr>
        <w:t xml:space="preserve">the </w:t>
      </w:r>
      <w:r w:rsidRPr="00927BAD">
        <w:rPr>
          <w:rFonts w:eastAsia="Times New Roman" w:cs="Times New Roman"/>
          <w:sz w:val="20"/>
          <w:szCs w:val="20"/>
        </w:rPr>
        <w:t xml:space="preserve">number of records associated with each listed magnitude value are presented in </w:t>
      </w:r>
      <w:r w:rsidRPr="00927BAD">
        <w:rPr>
          <w:rFonts w:eastAsia="Times New Roman" w:cs="Times New Roman"/>
          <w:sz w:val="20"/>
          <w:szCs w:val="20"/>
        </w:rPr>
        <w:fldChar w:fldCharType="begin"/>
      </w:r>
      <w:r w:rsidRPr="00927BAD">
        <w:rPr>
          <w:rFonts w:eastAsia="Times New Roman" w:cs="Times New Roman"/>
          <w:sz w:val="20"/>
          <w:szCs w:val="20"/>
        </w:rPr>
        <w:instrText xml:space="preserve"> REF _Ref66281864 \h </w:instrText>
      </w:r>
      <w:r w:rsidR="00DA1B47" w:rsidRPr="00927BAD">
        <w:rPr>
          <w:rFonts w:eastAsia="Times New Roman" w:cs="Times New Roman"/>
          <w:sz w:val="20"/>
          <w:szCs w:val="20"/>
        </w:rPr>
        <w:instrText xml:space="preserve"> \* MERGEFORMAT </w:instrText>
      </w:r>
      <w:r w:rsidRPr="00927BAD">
        <w:rPr>
          <w:rFonts w:eastAsia="Times New Roman" w:cs="Times New Roman"/>
          <w:sz w:val="20"/>
          <w:szCs w:val="20"/>
        </w:rPr>
      </w:r>
      <w:r w:rsidRPr="00927BAD">
        <w:rPr>
          <w:rFonts w:eastAsia="Times New Roman" w:cs="Times New Roman"/>
          <w:sz w:val="20"/>
          <w:szCs w:val="20"/>
        </w:rPr>
        <w:fldChar w:fldCharType="separate"/>
      </w:r>
      <w:r w:rsidR="00744F1E" w:rsidRPr="00927BAD">
        <w:rPr>
          <w:rFonts w:cs="Times New Roman"/>
          <w:sz w:val="20"/>
          <w:szCs w:val="20"/>
        </w:rPr>
        <w:t xml:space="preserve">Table </w:t>
      </w:r>
      <w:r w:rsidR="00744F1E">
        <w:rPr>
          <w:rFonts w:cs="Times New Roman"/>
          <w:noProof/>
          <w:sz w:val="20"/>
          <w:szCs w:val="20"/>
        </w:rPr>
        <w:t>II</w:t>
      </w:r>
      <w:r w:rsidRPr="00927BAD">
        <w:rPr>
          <w:rFonts w:eastAsia="Times New Roman" w:cs="Times New Roman"/>
          <w:sz w:val="20"/>
          <w:szCs w:val="20"/>
        </w:rPr>
        <w:fldChar w:fldCharType="end"/>
      </w:r>
      <w:r w:rsidRPr="00927BAD">
        <w:rPr>
          <w:rFonts w:eastAsia="Times New Roman" w:cs="Times New Roman"/>
          <w:sz w:val="20"/>
          <w:szCs w:val="20"/>
        </w:rPr>
        <w:t xml:space="preserve">.  </w:t>
      </w:r>
      <w:r w:rsidRPr="00927BAD">
        <w:rPr>
          <w:rFonts w:eastAsia="Times New Roman" w:cs="Times New Roman"/>
          <w:sz w:val="20"/>
          <w:szCs w:val="20"/>
          <w:lang w:eastAsia="en-GB"/>
        </w:rPr>
        <w:t>Hypocentral distance was taken as the distance metric for all comparisons in place of rupture distance. Due to the moderate magnitudes of all earthquakes and shallow depth, the assumption of equality between hypocentral and rupture dista</w:t>
      </w:r>
      <w:bookmarkStart w:id="9" w:name="_Ref50033593"/>
      <w:bookmarkStart w:id="10" w:name="_Toc353256362"/>
      <w:bookmarkStart w:id="11" w:name="_Toc414283615"/>
      <w:r w:rsidRPr="00927BAD">
        <w:rPr>
          <w:rFonts w:eastAsia="Times New Roman" w:cs="Times New Roman"/>
          <w:sz w:val="20"/>
          <w:szCs w:val="20"/>
          <w:lang w:eastAsia="en-GB"/>
        </w:rPr>
        <w:t xml:space="preserve">nce is inferred (Gupta, 2006). </w:t>
      </w:r>
    </w:p>
    <w:p w14:paraId="7B4AFF1F" w14:textId="613B309D" w:rsidR="004C5428" w:rsidRPr="00927BAD" w:rsidRDefault="0063283B" w:rsidP="0063283B">
      <w:pPr>
        <w:pStyle w:val="Caption"/>
        <w:rPr>
          <w:rFonts w:eastAsia="Calibri" w:cs="Times New Roman"/>
          <w:b w:val="0"/>
          <w:bCs w:val="0"/>
          <w:color w:val="auto"/>
          <w:sz w:val="20"/>
          <w:szCs w:val="20"/>
        </w:rPr>
      </w:pPr>
      <w:bookmarkStart w:id="12" w:name="_Ref66281864"/>
      <w:bookmarkStart w:id="13" w:name="_Toc69136787"/>
      <w:r w:rsidRPr="00744F1E">
        <w:rPr>
          <w:rFonts w:cs="Times New Roman"/>
          <w:b w:val="0"/>
          <w:color w:val="auto"/>
          <w:sz w:val="20"/>
          <w:szCs w:val="20"/>
        </w:rPr>
        <w:t xml:space="preserve">Table </w:t>
      </w:r>
      <w:r w:rsidR="00744F1E" w:rsidRPr="00744F1E">
        <w:rPr>
          <w:rFonts w:cs="Times New Roman"/>
          <w:b w:val="0"/>
          <w:color w:val="auto"/>
          <w:sz w:val="20"/>
          <w:szCs w:val="20"/>
        </w:rPr>
        <w:t>II</w:t>
      </w:r>
      <w:bookmarkEnd w:id="9"/>
      <w:bookmarkEnd w:id="12"/>
      <w:r w:rsidR="004C5428" w:rsidRPr="00744F1E">
        <w:rPr>
          <w:rFonts w:cs="Times New Roman"/>
          <w:b w:val="0"/>
          <w:color w:val="auto"/>
          <w:sz w:val="20"/>
          <w:szCs w:val="20"/>
        </w:rPr>
        <w:t>:</w:t>
      </w:r>
      <w:r w:rsidR="004C5428" w:rsidRPr="00927BAD">
        <w:rPr>
          <w:rFonts w:cs="Times New Roman"/>
          <w:color w:val="auto"/>
          <w:sz w:val="20"/>
          <w:szCs w:val="20"/>
        </w:rPr>
        <w:t xml:space="preserve"> </w:t>
      </w:r>
      <w:r w:rsidR="004C5428" w:rsidRPr="00927BAD">
        <w:rPr>
          <w:rFonts w:eastAsia="Calibri" w:cs="Times New Roman"/>
          <w:b w:val="0"/>
          <w:bCs w:val="0"/>
          <w:color w:val="auto"/>
          <w:sz w:val="20"/>
          <w:szCs w:val="20"/>
        </w:rPr>
        <w:t>Number of events and recordings in different magnitude range</w:t>
      </w:r>
      <w:bookmarkEnd w:id="10"/>
      <w:r w:rsidR="004C5428" w:rsidRPr="00927BAD">
        <w:rPr>
          <w:rFonts w:eastAsia="Calibri" w:cs="Times New Roman"/>
          <w:b w:val="0"/>
          <w:bCs w:val="0"/>
          <w:color w:val="auto"/>
          <w:sz w:val="20"/>
          <w:szCs w:val="20"/>
        </w:rPr>
        <w:t xml:space="preserve"> showing the distance range of the recording stations.</w:t>
      </w:r>
      <w:bookmarkEnd w:id="11"/>
      <w:bookmarkEnd w:id="13"/>
    </w:p>
    <w:tbl>
      <w:tblPr>
        <w:tblStyle w:val="TableGrid"/>
        <w:tblW w:w="9918" w:type="dxa"/>
        <w:jc w:val="center"/>
        <w:tblLook w:val="04A0" w:firstRow="1" w:lastRow="0" w:firstColumn="1" w:lastColumn="0" w:noHBand="0" w:noVBand="1"/>
      </w:tblPr>
      <w:tblGrid>
        <w:gridCol w:w="1361"/>
        <w:gridCol w:w="902"/>
        <w:gridCol w:w="851"/>
        <w:gridCol w:w="850"/>
        <w:gridCol w:w="851"/>
        <w:gridCol w:w="850"/>
        <w:gridCol w:w="851"/>
        <w:gridCol w:w="850"/>
        <w:gridCol w:w="851"/>
        <w:gridCol w:w="850"/>
        <w:gridCol w:w="851"/>
      </w:tblGrid>
      <w:tr w:rsidR="004C5428" w:rsidRPr="00927BAD" w14:paraId="35CFDF02" w14:textId="77777777" w:rsidTr="00DA1B47">
        <w:trPr>
          <w:trHeight w:val="194"/>
          <w:jc w:val="center"/>
        </w:trPr>
        <w:tc>
          <w:tcPr>
            <w:tcW w:w="1361" w:type="dxa"/>
            <w:noWrap/>
            <w:hideMark/>
          </w:tcPr>
          <w:p w14:paraId="072A43E6" w14:textId="77777777" w:rsidR="004C5428" w:rsidRPr="00927BAD" w:rsidRDefault="004C5428" w:rsidP="005E75CA">
            <w:pPr>
              <w:spacing w:after="0" w:line="240" w:lineRule="auto"/>
              <w:ind w:left="39" w:hanging="39"/>
              <w:jc w:val="center"/>
              <w:rPr>
                <w:rFonts w:cs="Times New Roman"/>
                <w:b/>
                <w:bCs/>
                <w:sz w:val="20"/>
                <w:szCs w:val="20"/>
              </w:rPr>
            </w:pPr>
            <w:r w:rsidRPr="00927BAD">
              <w:rPr>
                <w:rFonts w:cs="Times New Roman"/>
                <w:b/>
                <w:bCs/>
                <w:sz w:val="20"/>
                <w:szCs w:val="20"/>
              </w:rPr>
              <w:t>Magnitude</w:t>
            </w:r>
          </w:p>
        </w:tc>
        <w:tc>
          <w:tcPr>
            <w:tcW w:w="902" w:type="dxa"/>
            <w:noWrap/>
            <w:hideMark/>
          </w:tcPr>
          <w:p w14:paraId="7B7B76F0" w14:textId="77777777" w:rsidR="004C5428" w:rsidRPr="00927BAD" w:rsidRDefault="004C5428" w:rsidP="005E75CA">
            <w:pPr>
              <w:spacing w:after="0" w:line="240" w:lineRule="auto"/>
              <w:jc w:val="center"/>
              <w:rPr>
                <w:rFonts w:cs="Times New Roman"/>
                <w:b/>
                <w:sz w:val="20"/>
                <w:szCs w:val="20"/>
              </w:rPr>
            </w:pPr>
            <w:r w:rsidRPr="00927BAD">
              <w:rPr>
                <w:rFonts w:cs="Times New Roman"/>
                <w:b/>
                <w:sz w:val="20"/>
                <w:szCs w:val="20"/>
              </w:rPr>
              <w:t>3.0</w:t>
            </w:r>
          </w:p>
        </w:tc>
        <w:tc>
          <w:tcPr>
            <w:tcW w:w="851" w:type="dxa"/>
            <w:noWrap/>
            <w:hideMark/>
          </w:tcPr>
          <w:p w14:paraId="4A8ED1B8" w14:textId="77777777" w:rsidR="004C5428" w:rsidRPr="00927BAD" w:rsidRDefault="004C5428" w:rsidP="005E75CA">
            <w:pPr>
              <w:spacing w:after="0" w:line="240" w:lineRule="auto"/>
              <w:jc w:val="center"/>
              <w:rPr>
                <w:rFonts w:cs="Times New Roman"/>
                <w:b/>
                <w:sz w:val="20"/>
                <w:szCs w:val="20"/>
              </w:rPr>
            </w:pPr>
            <w:r w:rsidRPr="00927BAD">
              <w:rPr>
                <w:rFonts w:cs="Times New Roman"/>
                <w:b/>
                <w:sz w:val="20"/>
                <w:szCs w:val="20"/>
              </w:rPr>
              <w:t>3.1</w:t>
            </w:r>
          </w:p>
        </w:tc>
        <w:tc>
          <w:tcPr>
            <w:tcW w:w="850" w:type="dxa"/>
            <w:noWrap/>
            <w:hideMark/>
          </w:tcPr>
          <w:p w14:paraId="6410557C" w14:textId="77777777" w:rsidR="004C5428" w:rsidRPr="00927BAD" w:rsidRDefault="004C5428" w:rsidP="005E75CA">
            <w:pPr>
              <w:spacing w:after="0" w:line="240" w:lineRule="auto"/>
              <w:jc w:val="center"/>
              <w:rPr>
                <w:rFonts w:cs="Times New Roman"/>
                <w:b/>
                <w:sz w:val="20"/>
                <w:szCs w:val="20"/>
              </w:rPr>
            </w:pPr>
            <w:r w:rsidRPr="00927BAD">
              <w:rPr>
                <w:rFonts w:cs="Times New Roman"/>
                <w:b/>
                <w:sz w:val="20"/>
                <w:szCs w:val="20"/>
              </w:rPr>
              <w:t>3.2</w:t>
            </w:r>
          </w:p>
        </w:tc>
        <w:tc>
          <w:tcPr>
            <w:tcW w:w="851" w:type="dxa"/>
            <w:noWrap/>
            <w:hideMark/>
          </w:tcPr>
          <w:p w14:paraId="61AC677D" w14:textId="77777777" w:rsidR="004C5428" w:rsidRPr="00927BAD" w:rsidRDefault="004C5428" w:rsidP="005E75CA">
            <w:pPr>
              <w:spacing w:after="0" w:line="240" w:lineRule="auto"/>
              <w:jc w:val="center"/>
              <w:rPr>
                <w:rFonts w:cs="Times New Roman"/>
                <w:b/>
                <w:sz w:val="20"/>
                <w:szCs w:val="20"/>
              </w:rPr>
            </w:pPr>
            <w:r w:rsidRPr="00927BAD">
              <w:rPr>
                <w:rFonts w:cs="Times New Roman"/>
                <w:b/>
                <w:sz w:val="20"/>
                <w:szCs w:val="20"/>
              </w:rPr>
              <w:t>3.3</w:t>
            </w:r>
          </w:p>
        </w:tc>
        <w:tc>
          <w:tcPr>
            <w:tcW w:w="850" w:type="dxa"/>
            <w:noWrap/>
            <w:hideMark/>
          </w:tcPr>
          <w:p w14:paraId="2E0B0067" w14:textId="77777777" w:rsidR="004C5428" w:rsidRPr="00927BAD" w:rsidRDefault="004C5428" w:rsidP="005E75CA">
            <w:pPr>
              <w:spacing w:after="0" w:line="240" w:lineRule="auto"/>
              <w:jc w:val="center"/>
              <w:rPr>
                <w:rFonts w:cs="Times New Roman"/>
                <w:b/>
                <w:sz w:val="20"/>
                <w:szCs w:val="20"/>
              </w:rPr>
            </w:pPr>
            <w:r w:rsidRPr="00927BAD">
              <w:rPr>
                <w:rFonts w:cs="Times New Roman"/>
                <w:b/>
                <w:sz w:val="20"/>
                <w:szCs w:val="20"/>
              </w:rPr>
              <w:t>3.4</w:t>
            </w:r>
          </w:p>
        </w:tc>
        <w:tc>
          <w:tcPr>
            <w:tcW w:w="851" w:type="dxa"/>
            <w:noWrap/>
            <w:hideMark/>
          </w:tcPr>
          <w:p w14:paraId="771B28A9" w14:textId="77777777" w:rsidR="004C5428" w:rsidRPr="00927BAD" w:rsidRDefault="004C5428" w:rsidP="005E75CA">
            <w:pPr>
              <w:spacing w:after="0" w:line="240" w:lineRule="auto"/>
              <w:jc w:val="center"/>
              <w:rPr>
                <w:rFonts w:cs="Times New Roman"/>
                <w:b/>
                <w:sz w:val="20"/>
                <w:szCs w:val="20"/>
              </w:rPr>
            </w:pPr>
            <w:r w:rsidRPr="00927BAD">
              <w:rPr>
                <w:rFonts w:cs="Times New Roman"/>
                <w:b/>
                <w:sz w:val="20"/>
                <w:szCs w:val="20"/>
              </w:rPr>
              <w:t>3.5</w:t>
            </w:r>
          </w:p>
        </w:tc>
        <w:tc>
          <w:tcPr>
            <w:tcW w:w="850" w:type="dxa"/>
            <w:noWrap/>
            <w:hideMark/>
          </w:tcPr>
          <w:p w14:paraId="67F3D2E7" w14:textId="77777777" w:rsidR="004C5428" w:rsidRPr="00927BAD" w:rsidRDefault="004C5428" w:rsidP="005E75CA">
            <w:pPr>
              <w:spacing w:after="0" w:line="240" w:lineRule="auto"/>
              <w:jc w:val="center"/>
              <w:rPr>
                <w:rFonts w:cs="Times New Roman"/>
                <w:b/>
                <w:sz w:val="20"/>
                <w:szCs w:val="20"/>
              </w:rPr>
            </w:pPr>
            <w:r w:rsidRPr="00927BAD">
              <w:rPr>
                <w:rFonts w:cs="Times New Roman"/>
                <w:b/>
                <w:sz w:val="20"/>
                <w:szCs w:val="20"/>
              </w:rPr>
              <w:t>3.6</w:t>
            </w:r>
          </w:p>
        </w:tc>
        <w:tc>
          <w:tcPr>
            <w:tcW w:w="851" w:type="dxa"/>
            <w:noWrap/>
            <w:hideMark/>
          </w:tcPr>
          <w:p w14:paraId="0FEEDD55" w14:textId="77777777" w:rsidR="004C5428" w:rsidRPr="00927BAD" w:rsidRDefault="004C5428" w:rsidP="005E75CA">
            <w:pPr>
              <w:spacing w:after="0" w:line="240" w:lineRule="auto"/>
              <w:jc w:val="center"/>
              <w:rPr>
                <w:rFonts w:cs="Times New Roman"/>
                <w:b/>
                <w:sz w:val="20"/>
                <w:szCs w:val="20"/>
              </w:rPr>
            </w:pPr>
            <w:r w:rsidRPr="00927BAD">
              <w:rPr>
                <w:rFonts w:cs="Times New Roman"/>
                <w:b/>
                <w:sz w:val="20"/>
                <w:szCs w:val="20"/>
              </w:rPr>
              <w:t>3.9</w:t>
            </w:r>
          </w:p>
        </w:tc>
        <w:tc>
          <w:tcPr>
            <w:tcW w:w="850" w:type="dxa"/>
            <w:noWrap/>
            <w:hideMark/>
          </w:tcPr>
          <w:p w14:paraId="59ADD18E" w14:textId="77777777" w:rsidR="004C5428" w:rsidRPr="00927BAD" w:rsidRDefault="004C5428" w:rsidP="005E75CA">
            <w:pPr>
              <w:spacing w:after="0" w:line="240" w:lineRule="auto"/>
              <w:jc w:val="center"/>
              <w:rPr>
                <w:rFonts w:cs="Times New Roman"/>
                <w:b/>
                <w:sz w:val="20"/>
                <w:szCs w:val="20"/>
              </w:rPr>
            </w:pPr>
            <w:r w:rsidRPr="00927BAD">
              <w:rPr>
                <w:rFonts w:cs="Times New Roman"/>
                <w:b/>
                <w:sz w:val="20"/>
                <w:szCs w:val="20"/>
              </w:rPr>
              <w:t>4.6</w:t>
            </w:r>
          </w:p>
        </w:tc>
        <w:tc>
          <w:tcPr>
            <w:tcW w:w="851" w:type="dxa"/>
            <w:noWrap/>
            <w:hideMark/>
          </w:tcPr>
          <w:p w14:paraId="7C4D1FF4" w14:textId="77777777" w:rsidR="004C5428" w:rsidRPr="00927BAD" w:rsidRDefault="004C5428" w:rsidP="005E75CA">
            <w:pPr>
              <w:spacing w:after="0" w:line="240" w:lineRule="auto"/>
              <w:jc w:val="center"/>
              <w:rPr>
                <w:rFonts w:cs="Times New Roman"/>
                <w:b/>
                <w:sz w:val="20"/>
                <w:szCs w:val="20"/>
              </w:rPr>
            </w:pPr>
            <w:r w:rsidRPr="00927BAD">
              <w:rPr>
                <w:rFonts w:cs="Times New Roman"/>
                <w:b/>
                <w:sz w:val="20"/>
                <w:szCs w:val="20"/>
              </w:rPr>
              <w:t>5.5</w:t>
            </w:r>
          </w:p>
        </w:tc>
      </w:tr>
      <w:tr w:rsidR="004C5428" w:rsidRPr="00927BAD" w14:paraId="3626F821" w14:textId="77777777" w:rsidTr="00DA1B47">
        <w:trPr>
          <w:trHeight w:val="267"/>
          <w:jc w:val="center"/>
        </w:trPr>
        <w:tc>
          <w:tcPr>
            <w:tcW w:w="1361" w:type="dxa"/>
            <w:noWrap/>
            <w:hideMark/>
          </w:tcPr>
          <w:p w14:paraId="02AB23E0" w14:textId="77777777" w:rsidR="004C5428" w:rsidRPr="00927BAD" w:rsidRDefault="004C5428" w:rsidP="005E75CA">
            <w:pPr>
              <w:spacing w:after="0" w:line="240" w:lineRule="auto"/>
              <w:jc w:val="center"/>
              <w:rPr>
                <w:rFonts w:cs="Times New Roman"/>
                <w:bCs/>
                <w:sz w:val="20"/>
                <w:szCs w:val="20"/>
              </w:rPr>
            </w:pPr>
            <w:r w:rsidRPr="00927BAD">
              <w:rPr>
                <w:rFonts w:cs="Times New Roman"/>
                <w:bCs/>
                <w:sz w:val="20"/>
                <w:szCs w:val="20"/>
              </w:rPr>
              <w:t>No. of events</w:t>
            </w:r>
          </w:p>
        </w:tc>
        <w:tc>
          <w:tcPr>
            <w:tcW w:w="902" w:type="dxa"/>
            <w:noWrap/>
            <w:hideMark/>
          </w:tcPr>
          <w:p w14:paraId="7A8BFB2C"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11</w:t>
            </w:r>
          </w:p>
        </w:tc>
        <w:tc>
          <w:tcPr>
            <w:tcW w:w="851" w:type="dxa"/>
            <w:noWrap/>
            <w:hideMark/>
          </w:tcPr>
          <w:p w14:paraId="672FCD08"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13</w:t>
            </w:r>
          </w:p>
        </w:tc>
        <w:tc>
          <w:tcPr>
            <w:tcW w:w="850" w:type="dxa"/>
            <w:noWrap/>
            <w:hideMark/>
          </w:tcPr>
          <w:p w14:paraId="2FD99B07"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11</w:t>
            </w:r>
          </w:p>
        </w:tc>
        <w:tc>
          <w:tcPr>
            <w:tcW w:w="851" w:type="dxa"/>
            <w:noWrap/>
            <w:hideMark/>
          </w:tcPr>
          <w:p w14:paraId="4A1D1D54"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7</w:t>
            </w:r>
          </w:p>
        </w:tc>
        <w:tc>
          <w:tcPr>
            <w:tcW w:w="850" w:type="dxa"/>
            <w:noWrap/>
            <w:hideMark/>
          </w:tcPr>
          <w:p w14:paraId="59FB0BC9"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3</w:t>
            </w:r>
          </w:p>
        </w:tc>
        <w:tc>
          <w:tcPr>
            <w:tcW w:w="851" w:type="dxa"/>
            <w:noWrap/>
            <w:hideMark/>
          </w:tcPr>
          <w:p w14:paraId="0F0009EB"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6</w:t>
            </w:r>
          </w:p>
        </w:tc>
        <w:tc>
          <w:tcPr>
            <w:tcW w:w="850" w:type="dxa"/>
            <w:noWrap/>
            <w:hideMark/>
          </w:tcPr>
          <w:p w14:paraId="0F89456E"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3</w:t>
            </w:r>
          </w:p>
        </w:tc>
        <w:tc>
          <w:tcPr>
            <w:tcW w:w="851" w:type="dxa"/>
            <w:noWrap/>
            <w:hideMark/>
          </w:tcPr>
          <w:p w14:paraId="20394443"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1</w:t>
            </w:r>
          </w:p>
        </w:tc>
        <w:tc>
          <w:tcPr>
            <w:tcW w:w="850" w:type="dxa"/>
            <w:noWrap/>
            <w:hideMark/>
          </w:tcPr>
          <w:p w14:paraId="4FFC73C3"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1</w:t>
            </w:r>
          </w:p>
        </w:tc>
        <w:tc>
          <w:tcPr>
            <w:tcW w:w="851" w:type="dxa"/>
            <w:noWrap/>
            <w:hideMark/>
          </w:tcPr>
          <w:p w14:paraId="22F1ED3D"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1</w:t>
            </w:r>
          </w:p>
        </w:tc>
      </w:tr>
      <w:tr w:rsidR="004C5428" w:rsidRPr="00927BAD" w14:paraId="3E590C0F" w14:textId="77777777" w:rsidTr="00DA1B47">
        <w:trPr>
          <w:trHeight w:val="130"/>
          <w:jc w:val="center"/>
        </w:trPr>
        <w:tc>
          <w:tcPr>
            <w:tcW w:w="1361" w:type="dxa"/>
            <w:noWrap/>
            <w:hideMark/>
          </w:tcPr>
          <w:p w14:paraId="1009E1F5" w14:textId="77777777" w:rsidR="004C5428" w:rsidRPr="00927BAD" w:rsidRDefault="004C5428" w:rsidP="005E75CA">
            <w:pPr>
              <w:spacing w:after="0" w:line="240" w:lineRule="auto"/>
              <w:jc w:val="center"/>
              <w:rPr>
                <w:rFonts w:cs="Times New Roman"/>
                <w:bCs/>
                <w:sz w:val="20"/>
                <w:szCs w:val="20"/>
              </w:rPr>
            </w:pPr>
            <w:r w:rsidRPr="00927BAD">
              <w:rPr>
                <w:rFonts w:cs="Times New Roman"/>
                <w:bCs/>
                <w:sz w:val="20"/>
                <w:szCs w:val="20"/>
              </w:rPr>
              <w:t>No. of recordings</w:t>
            </w:r>
          </w:p>
        </w:tc>
        <w:tc>
          <w:tcPr>
            <w:tcW w:w="902" w:type="dxa"/>
            <w:noWrap/>
            <w:hideMark/>
          </w:tcPr>
          <w:p w14:paraId="662E30EB"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284</w:t>
            </w:r>
          </w:p>
        </w:tc>
        <w:tc>
          <w:tcPr>
            <w:tcW w:w="851" w:type="dxa"/>
            <w:noWrap/>
            <w:hideMark/>
          </w:tcPr>
          <w:p w14:paraId="15179B10"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424</w:t>
            </w:r>
          </w:p>
        </w:tc>
        <w:tc>
          <w:tcPr>
            <w:tcW w:w="850" w:type="dxa"/>
            <w:noWrap/>
            <w:hideMark/>
          </w:tcPr>
          <w:p w14:paraId="45A479AC"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405</w:t>
            </w:r>
          </w:p>
        </w:tc>
        <w:tc>
          <w:tcPr>
            <w:tcW w:w="851" w:type="dxa"/>
            <w:noWrap/>
            <w:hideMark/>
          </w:tcPr>
          <w:p w14:paraId="51DC928D"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265</w:t>
            </w:r>
          </w:p>
        </w:tc>
        <w:tc>
          <w:tcPr>
            <w:tcW w:w="850" w:type="dxa"/>
            <w:noWrap/>
            <w:hideMark/>
          </w:tcPr>
          <w:p w14:paraId="15EF079D"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130</w:t>
            </w:r>
          </w:p>
        </w:tc>
        <w:tc>
          <w:tcPr>
            <w:tcW w:w="851" w:type="dxa"/>
            <w:noWrap/>
            <w:hideMark/>
          </w:tcPr>
          <w:p w14:paraId="0E03C417"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220</w:t>
            </w:r>
          </w:p>
        </w:tc>
        <w:tc>
          <w:tcPr>
            <w:tcW w:w="850" w:type="dxa"/>
            <w:noWrap/>
            <w:hideMark/>
          </w:tcPr>
          <w:p w14:paraId="418666B8"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137</w:t>
            </w:r>
          </w:p>
        </w:tc>
        <w:tc>
          <w:tcPr>
            <w:tcW w:w="851" w:type="dxa"/>
            <w:noWrap/>
            <w:hideMark/>
          </w:tcPr>
          <w:p w14:paraId="5C1F7BCE"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41</w:t>
            </w:r>
          </w:p>
        </w:tc>
        <w:tc>
          <w:tcPr>
            <w:tcW w:w="850" w:type="dxa"/>
            <w:noWrap/>
            <w:hideMark/>
          </w:tcPr>
          <w:p w14:paraId="3EDD7B4E"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40</w:t>
            </w:r>
          </w:p>
        </w:tc>
        <w:tc>
          <w:tcPr>
            <w:tcW w:w="851" w:type="dxa"/>
            <w:noWrap/>
            <w:hideMark/>
          </w:tcPr>
          <w:p w14:paraId="51D047A3"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38</w:t>
            </w:r>
          </w:p>
        </w:tc>
      </w:tr>
      <w:tr w:rsidR="004C5428" w:rsidRPr="00927BAD" w14:paraId="35D337FA" w14:textId="77777777" w:rsidTr="00C52E7C">
        <w:trPr>
          <w:trHeight w:val="330"/>
          <w:jc w:val="center"/>
        </w:trPr>
        <w:tc>
          <w:tcPr>
            <w:tcW w:w="1361" w:type="dxa"/>
            <w:noWrap/>
            <w:hideMark/>
          </w:tcPr>
          <w:p w14:paraId="79307F1A" w14:textId="77777777" w:rsidR="004C5428" w:rsidRPr="00927BAD" w:rsidRDefault="004C5428" w:rsidP="005E75CA">
            <w:pPr>
              <w:spacing w:after="0" w:line="240" w:lineRule="auto"/>
              <w:jc w:val="center"/>
              <w:rPr>
                <w:rFonts w:cs="Times New Roman"/>
                <w:bCs/>
                <w:sz w:val="20"/>
                <w:szCs w:val="20"/>
              </w:rPr>
            </w:pPr>
            <w:r w:rsidRPr="00927BAD">
              <w:rPr>
                <w:rFonts w:cs="Times New Roman"/>
                <w:bCs/>
                <w:sz w:val="20"/>
                <w:szCs w:val="20"/>
              </w:rPr>
              <w:t>Hypocentral Distance (km)</w:t>
            </w:r>
          </w:p>
        </w:tc>
        <w:tc>
          <w:tcPr>
            <w:tcW w:w="902" w:type="dxa"/>
            <w:noWrap/>
            <w:hideMark/>
          </w:tcPr>
          <w:p w14:paraId="5488F89D"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1.4 - 349</w:t>
            </w:r>
          </w:p>
        </w:tc>
        <w:tc>
          <w:tcPr>
            <w:tcW w:w="851" w:type="dxa"/>
            <w:noWrap/>
            <w:hideMark/>
          </w:tcPr>
          <w:p w14:paraId="25B675BB" w14:textId="77777777" w:rsidR="004C5428" w:rsidRPr="00927BAD" w:rsidRDefault="009D5E73" w:rsidP="005E75CA">
            <w:pPr>
              <w:spacing w:after="0" w:line="240" w:lineRule="auto"/>
              <w:jc w:val="center"/>
              <w:rPr>
                <w:rFonts w:cs="Times New Roman"/>
                <w:sz w:val="20"/>
                <w:szCs w:val="20"/>
              </w:rPr>
            </w:pPr>
            <w:r w:rsidRPr="00927BAD">
              <w:rPr>
                <w:rFonts w:cs="Times New Roman"/>
                <w:sz w:val="20"/>
                <w:szCs w:val="20"/>
              </w:rPr>
              <w:t>2.</w:t>
            </w:r>
            <w:r w:rsidR="004C5428" w:rsidRPr="00927BAD">
              <w:rPr>
                <w:rFonts w:cs="Times New Roman"/>
                <w:sz w:val="20"/>
                <w:szCs w:val="20"/>
              </w:rPr>
              <w:t>1 - 284</w:t>
            </w:r>
          </w:p>
        </w:tc>
        <w:tc>
          <w:tcPr>
            <w:tcW w:w="850" w:type="dxa"/>
            <w:noWrap/>
            <w:hideMark/>
          </w:tcPr>
          <w:p w14:paraId="63CF407A"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0</w:t>
            </w:r>
            <w:r w:rsidR="009D5E73" w:rsidRPr="00927BAD">
              <w:rPr>
                <w:rFonts w:cs="Times New Roman"/>
                <w:sz w:val="20"/>
                <w:szCs w:val="20"/>
              </w:rPr>
              <w:t>.9</w:t>
            </w:r>
            <w:r w:rsidRPr="00927BAD">
              <w:rPr>
                <w:rFonts w:cs="Times New Roman"/>
                <w:sz w:val="20"/>
                <w:szCs w:val="20"/>
              </w:rPr>
              <w:t xml:space="preserve"> - 232</w:t>
            </w:r>
          </w:p>
        </w:tc>
        <w:tc>
          <w:tcPr>
            <w:tcW w:w="851" w:type="dxa"/>
            <w:noWrap/>
            <w:hideMark/>
          </w:tcPr>
          <w:p w14:paraId="20E97558"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1.8 - 337</w:t>
            </w:r>
          </w:p>
        </w:tc>
        <w:tc>
          <w:tcPr>
            <w:tcW w:w="850" w:type="dxa"/>
            <w:noWrap/>
            <w:hideMark/>
          </w:tcPr>
          <w:p w14:paraId="37476F76"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0.9 - 218</w:t>
            </w:r>
          </w:p>
        </w:tc>
        <w:tc>
          <w:tcPr>
            <w:tcW w:w="851" w:type="dxa"/>
            <w:noWrap/>
            <w:hideMark/>
          </w:tcPr>
          <w:p w14:paraId="4A8BC813"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1.2 - 231</w:t>
            </w:r>
          </w:p>
        </w:tc>
        <w:tc>
          <w:tcPr>
            <w:tcW w:w="850" w:type="dxa"/>
            <w:noWrap/>
            <w:hideMark/>
          </w:tcPr>
          <w:p w14:paraId="6F87624E"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2.4 - 218</w:t>
            </w:r>
          </w:p>
        </w:tc>
        <w:tc>
          <w:tcPr>
            <w:tcW w:w="851" w:type="dxa"/>
            <w:noWrap/>
            <w:hideMark/>
          </w:tcPr>
          <w:p w14:paraId="37D34FA2"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4.3 - 117</w:t>
            </w:r>
          </w:p>
        </w:tc>
        <w:tc>
          <w:tcPr>
            <w:tcW w:w="850" w:type="dxa"/>
            <w:noWrap/>
            <w:hideMark/>
          </w:tcPr>
          <w:p w14:paraId="40A2D916"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4.2 - 195</w:t>
            </w:r>
          </w:p>
        </w:tc>
        <w:tc>
          <w:tcPr>
            <w:tcW w:w="851" w:type="dxa"/>
            <w:noWrap/>
            <w:hideMark/>
          </w:tcPr>
          <w:p w14:paraId="426EF5A9" w14:textId="77777777" w:rsidR="004C5428" w:rsidRPr="00927BAD" w:rsidRDefault="004C5428" w:rsidP="005E75CA">
            <w:pPr>
              <w:spacing w:after="0" w:line="240" w:lineRule="auto"/>
              <w:jc w:val="center"/>
              <w:rPr>
                <w:rFonts w:cs="Times New Roman"/>
                <w:sz w:val="20"/>
                <w:szCs w:val="20"/>
              </w:rPr>
            </w:pPr>
            <w:r w:rsidRPr="00927BAD">
              <w:rPr>
                <w:rFonts w:cs="Times New Roman"/>
                <w:sz w:val="20"/>
                <w:szCs w:val="20"/>
              </w:rPr>
              <w:t>4.8 - 177</w:t>
            </w:r>
          </w:p>
        </w:tc>
      </w:tr>
    </w:tbl>
    <w:p w14:paraId="031734A9" w14:textId="77777777" w:rsidR="004C5428" w:rsidRPr="00927BAD" w:rsidRDefault="004C5428" w:rsidP="00DA1B47">
      <w:pPr>
        <w:spacing w:line="240" w:lineRule="auto"/>
        <w:ind w:left="-709"/>
        <w:jc w:val="both"/>
        <w:rPr>
          <w:rFonts w:cs="Times New Roman"/>
          <w:sz w:val="20"/>
          <w:szCs w:val="20"/>
        </w:rPr>
      </w:pPr>
    </w:p>
    <w:p w14:paraId="2C4BEBC5" w14:textId="6CC5B7E4" w:rsidR="004C5428" w:rsidRPr="00927BAD" w:rsidRDefault="00EA4291" w:rsidP="00C9156C">
      <w:pPr>
        <w:spacing w:line="240" w:lineRule="auto"/>
        <w:ind w:firstLine="720"/>
        <w:jc w:val="both"/>
        <w:rPr>
          <w:rFonts w:cs="Times New Roman"/>
          <w:sz w:val="20"/>
          <w:szCs w:val="20"/>
        </w:rPr>
      </w:pPr>
      <w:r w:rsidRPr="00EA4291">
        <w:rPr>
          <w:rFonts w:cs="Times New Roman"/>
          <w:sz w:val="20"/>
          <w:szCs w:val="20"/>
        </w:rPr>
        <w:t xml:space="preserve">No field investigations were carried out to </w:t>
      </w:r>
      <w:r w:rsidR="00966ADD" w:rsidRPr="00EA4291">
        <w:rPr>
          <w:rFonts w:cs="Times New Roman"/>
          <w:sz w:val="20"/>
          <w:szCs w:val="20"/>
        </w:rPr>
        <w:t xml:space="preserve">determine </w:t>
      </w:r>
      <w:r w:rsidR="00966ADD">
        <w:rPr>
          <w:rFonts w:cs="Times New Roman"/>
          <w:sz w:val="20"/>
          <w:szCs w:val="20"/>
        </w:rPr>
        <w:t>the</w:t>
      </w:r>
      <w:r w:rsidR="00754C63">
        <w:rPr>
          <w:rFonts w:cs="Times New Roman"/>
          <w:sz w:val="20"/>
          <w:szCs w:val="20"/>
        </w:rPr>
        <w:t xml:space="preserve"> site conditions at all the </w:t>
      </w:r>
      <w:r w:rsidR="00172D89">
        <w:rPr>
          <w:rFonts w:cs="Times New Roman"/>
          <w:sz w:val="20"/>
          <w:szCs w:val="20"/>
        </w:rPr>
        <w:t>seismic</w:t>
      </w:r>
      <w:r w:rsidR="00754C63">
        <w:rPr>
          <w:rFonts w:cs="Times New Roman"/>
          <w:sz w:val="20"/>
          <w:szCs w:val="20"/>
        </w:rPr>
        <w:t xml:space="preserve"> stations.</w:t>
      </w:r>
      <w:r w:rsidRPr="00EA4291">
        <w:rPr>
          <w:rFonts w:cs="Times New Roman"/>
          <w:sz w:val="20"/>
          <w:szCs w:val="20"/>
        </w:rPr>
        <w:t xml:space="preserve"> </w:t>
      </w:r>
      <w:r w:rsidR="009F5A41">
        <w:rPr>
          <w:rFonts w:cs="Times New Roman"/>
          <w:sz w:val="20"/>
          <w:szCs w:val="20"/>
        </w:rPr>
        <w:t>Instead,</w:t>
      </w:r>
      <w:r w:rsidR="009F5A41" w:rsidRPr="00EA4291">
        <w:rPr>
          <w:rFonts w:cs="Times New Roman"/>
          <w:sz w:val="20"/>
          <w:szCs w:val="20"/>
        </w:rPr>
        <w:t xml:space="preserve"> </w:t>
      </w:r>
      <w:r w:rsidRPr="00EA4291">
        <w:rPr>
          <w:rFonts w:cs="Times New Roman"/>
          <w:sz w:val="20"/>
          <w:szCs w:val="20"/>
        </w:rPr>
        <w:t xml:space="preserve">we estimated values based on </w:t>
      </w:r>
      <w:r w:rsidR="009F5A41">
        <w:rPr>
          <w:rFonts w:cs="Times New Roman"/>
          <w:sz w:val="20"/>
          <w:szCs w:val="20"/>
        </w:rPr>
        <w:t xml:space="preserve">the </w:t>
      </w:r>
      <w:r w:rsidRPr="00EA4291">
        <w:rPr>
          <w:rFonts w:cs="Times New Roman"/>
          <w:sz w:val="20"/>
          <w:szCs w:val="20"/>
        </w:rPr>
        <w:t>surface geology where the stations are located.</w:t>
      </w:r>
      <w:r>
        <w:rPr>
          <w:rFonts w:cs="Times New Roman"/>
          <w:sz w:val="20"/>
          <w:szCs w:val="20"/>
        </w:rPr>
        <w:t xml:space="preserve"> </w:t>
      </w:r>
      <w:r w:rsidR="004C5428" w:rsidRPr="00927BAD">
        <w:rPr>
          <w:rFonts w:cs="Times New Roman"/>
          <w:sz w:val="20"/>
          <w:szCs w:val="20"/>
        </w:rPr>
        <w:t xml:space="preserve">Given the </w:t>
      </w:r>
      <w:r w:rsidR="009F5A41">
        <w:rPr>
          <w:rFonts w:cs="Times New Roman"/>
          <w:sz w:val="20"/>
          <w:szCs w:val="20"/>
        </w:rPr>
        <w:t>need for more</w:t>
      </w:r>
      <w:r w:rsidR="004C5428" w:rsidRPr="00927BAD">
        <w:rPr>
          <w:rFonts w:cs="Times New Roman"/>
          <w:sz w:val="20"/>
          <w:szCs w:val="20"/>
        </w:rPr>
        <w:t xml:space="preserve"> detailed geological information at all the seismic stations, five site classes based on the National Earthquake Hazards Reduction Program (NEHRP) (FEMA, 2003) site classification were used. The NEHRP site classification forms one of the standard site classifications used in GMPEs (</w:t>
      </w:r>
      <w:r w:rsidR="00744F1E">
        <w:rPr>
          <w:rFonts w:cs="Times New Roman"/>
          <w:sz w:val="20"/>
          <w:szCs w:val="20"/>
        </w:rPr>
        <w:t>Table III</w:t>
      </w:r>
      <w:r w:rsidR="004C5428" w:rsidRPr="00927BAD">
        <w:rPr>
          <w:rFonts w:cs="Times New Roman"/>
          <w:sz w:val="20"/>
          <w:szCs w:val="20"/>
        </w:rPr>
        <w:t>).</w:t>
      </w:r>
      <w:r w:rsidR="00754C63" w:rsidRPr="00754C63">
        <w:rPr>
          <w:rFonts w:ascii="Arial" w:hAnsi="Arial" w:cs="Arial"/>
          <w:color w:val="111827"/>
          <w:shd w:val="clear" w:color="auto" w:fill="F0F0FC"/>
        </w:rPr>
        <w:t xml:space="preserve"> </w:t>
      </w:r>
      <w:r w:rsidR="00754C63" w:rsidRPr="00754C63">
        <w:rPr>
          <w:rFonts w:cs="Times New Roman"/>
          <w:sz w:val="20"/>
          <w:szCs w:val="20"/>
        </w:rPr>
        <w:t>The NEHRP site classes are used to categorize sites based on their seismic amplification potential. V</w:t>
      </w:r>
      <w:r w:rsidR="00754C63" w:rsidRPr="005E75CA">
        <w:rPr>
          <w:rFonts w:cs="Times New Roman"/>
          <w:sz w:val="20"/>
          <w:szCs w:val="20"/>
          <w:vertAlign w:val="subscript"/>
        </w:rPr>
        <w:t>s</w:t>
      </w:r>
      <w:r w:rsidR="00754C63" w:rsidRPr="00754C63">
        <w:rPr>
          <w:rFonts w:cs="Times New Roman"/>
          <w:sz w:val="20"/>
          <w:szCs w:val="20"/>
        </w:rPr>
        <w:t xml:space="preserve">30, </w:t>
      </w:r>
      <w:r w:rsidR="003722D2">
        <w:rPr>
          <w:rFonts w:cs="Times New Roman"/>
          <w:sz w:val="20"/>
          <w:szCs w:val="20"/>
        </w:rPr>
        <w:t>representing</w:t>
      </w:r>
      <w:r w:rsidR="00754C63" w:rsidRPr="00754C63">
        <w:rPr>
          <w:rFonts w:cs="Times New Roman"/>
          <w:sz w:val="20"/>
          <w:szCs w:val="20"/>
        </w:rPr>
        <w:t xml:space="preserve"> the average shear-wave velocity to a depth of 30 meters, is a crucial parameter </w:t>
      </w:r>
      <w:r w:rsidR="00754C63" w:rsidRPr="00754C63">
        <w:rPr>
          <w:rFonts w:cs="Times New Roman"/>
          <w:sz w:val="20"/>
          <w:szCs w:val="20"/>
        </w:rPr>
        <w:lastRenderedPageBreak/>
        <w:t xml:space="preserve">in determining these classes. The Vs30 values </w:t>
      </w:r>
      <w:r w:rsidR="003722D2">
        <w:rPr>
          <w:rFonts w:cs="Times New Roman"/>
          <w:sz w:val="20"/>
          <w:szCs w:val="20"/>
        </w:rPr>
        <w:t>indicate</w:t>
      </w:r>
      <w:r w:rsidR="00754C63" w:rsidRPr="00754C63">
        <w:rPr>
          <w:rFonts w:cs="Times New Roman"/>
          <w:sz w:val="20"/>
          <w:szCs w:val="20"/>
        </w:rPr>
        <w:t xml:space="preserve"> how the ground will respond to seismic waves, with lower V</w:t>
      </w:r>
      <w:r w:rsidR="00754C63" w:rsidRPr="005E75CA">
        <w:rPr>
          <w:rFonts w:cs="Times New Roman"/>
          <w:sz w:val="20"/>
          <w:szCs w:val="20"/>
          <w:vertAlign w:val="subscript"/>
        </w:rPr>
        <w:t>s</w:t>
      </w:r>
      <w:r w:rsidR="00754C63" w:rsidRPr="00754C63">
        <w:rPr>
          <w:rFonts w:cs="Times New Roman"/>
          <w:sz w:val="20"/>
          <w:szCs w:val="20"/>
        </w:rPr>
        <w:t xml:space="preserve">30 values typically associated with higher </w:t>
      </w:r>
      <w:r w:rsidR="003722D2">
        <w:rPr>
          <w:rFonts w:cs="Times New Roman"/>
          <w:sz w:val="20"/>
          <w:szCs w:val="20"/>
        </w:rPr>
        <w:t xml:space="preserve">shaking </w:t>
      </w:r>
      <w:r w:rsidR="00754C63" w:rsidRPr="00754C63">
        <w:rPr>
          <w:rFonts w:cs="Times New Roman"/>
          <w:sz w:val="20"/>
          <w:szCs w:val="20"/>
        </w:rPr>
        <w:t>amplification during earthquakes.</w:t>
      </w:r>
    </w:p>
    <w:p w14:paraId="77A0BD22" w14:textId="1DA84FCC" w:rsidR="004C5428" w:rsidRPr="00927BAD" w:rsidRDefault="002F3BD5" w:rsidP="002F3BD5">
      <w:pPr>
        <w:pStyle w:val="Caption"/>
        <w:rPr>
          <w:rFonts w:cs="Times New Roman"/>
          <w:b w:val="0"/>
          <w:color w:val="auto"/>
          <w:sz w:val="20"/>
          <w:szCs w:val="20"/>
        </w:rPr>
      </w:pPr>
      <w:bookmarkStart w:id="14" w:name="_Toc414283616"/>
      <w:bookmarkStart w:id="15" w:name="_Toc69136788"/>
      <w:r w:rsidRPr="00744F1E">
        <w:rPr>
          <w:rFonts w:cs="Times New Roman"/>
          <w:b w:val="0"/>
          <w:color w:val="auto"/>
          <w:sz w:val="20"/>
          <w:szCs w:val="20"/>
        </w:rPr>
        <w:t xml:space="preserve">Table </w:t>
      </w:r>
      <w:r w:rsidR="00744F1E" w:rsidRPr="00744F1E">
        <w:rPr>
          <w:rFonts w:cs="Times New Roman"/>
          <w:b w:val="0"/>
          <w:color w:val="auto"/>
          <w:sz w:val="20"/>
          <w:szCs w:val="20"/>
        </w:rPr>
        <w:t>III</w:t>
      </w:r>
      <w:r w:rsidR="004C5428" w:rsidRPr="00927BAD">
        <w:rPr>
          <w:rFonts w:cs="Times New Roman"/>
          <w:color w:val="auto"/>
          <w:sz w:val="20"/>
          <w:szCs w:val="20"/>
        </w:rPr>
        <w:t>:</w:t>
      </w:r>
      <w:r w:rsidR="004C5428" w:rsidRPr="00927BAD">
        <w:rPr>
          <w:rFonts w:cs="Times New Roman"/>
          <w:b w:val="0"/>
          <w:color w:val="auto"/>
          <w:sz w:val="20"/>
          <w:szCs w:val="20"/>
        </w:rPr>
        <w:t xml:space="preserve"> NEHRP site classification scheme (FEMA, 2003). V</w:t>
      </w:r>
      <w:r w:rsidR="004C5428" w:rsidRPr="00927BAD">
        <w:rPr>
          <w:rFonts w:cs="Times New Roman"/>
          <w:b w:val="0"/>
          <w:color w:val="auto"/>
          <w:sz w:val="20"/>
          <w:szCs w:val="20"/>
          <w:vertAlign w:val="subscript"/>
        </w:rPr>
        <w:t>S30</w:t>
      </w:r>
      <w:r w:rsidR="004C5428" w:rsidRPr="00927BAD">
        <w:rPr>
          <w:rFonts w:cs="Times New Roman"/>
          <w:b w:val="0"/>
          <w:color w:val="auto"/>
          <w:sz w:val="20"/>
          <w:szCs w:val="20"/>
        </w:rPr>
        <w:t xml:space="preserve"> is the shear-wave velocity averaged over the uppermost 30m.</w:t>
      </w:r>
      <w:bookmarkEnd w:id="14"/>
      <w:bookmarkEnd w:id="15"/>
    </w:p>
    <w:tbl>
      <w:tblPr>
        <w:tblStyle w:val="TableGrid111"/>
        <w:tblW w:w="3114" w:type="pct"/>
        <w:jc w:val="center"/>
        <w:tblLook w:val="01E0" w:firstRow="1" w:lastRow="1" w:firstColumn="1" w:lastColumn="1" w:noHBand="0" w:noVBand="0"/>
      </w:tblPr>
      <w:tblGrid>
        <w:gridCol w:w="1441"/>
        <w:gridCol w:w="2411"/>
        <w:gridCol w:w="2145"/>
      </w:tblGrid>
      <w:tr w:rsidR="004C5428" w:rsidRPr="00927BAD" w14:paraId="3C045A74" w14:textId="77777777" w:rsidTr="00C52E7C">
        <w:trPr>
          <w:jc w:val="center"/>
        </w:trPr>
        <w:tc>
          <w:tcPr>
            <w:tcW w:w="1202" w:type="pct"/>
          </w:tcPr>
          <w:p w14:paraId="6C84A6A7" w14:textId="77777777" w:rsidR="004C5428" w:rsidRPr="00927BAD" w:rsidRDefault="004C5428" w:rsidP="00DA1B47">
            <w:pPr>
              <w:autoSpaceDE w:val="0"/>
              <w:autoSpaceDN w:val="0"/>
              <w:adjustRightInd w:val="0"/>
              <w:spacing w:after="0" w:line="240" w:lineRule="auto"/>
              <w:jc w:val="both"/>
              <w:rPr>
                <w:rFonts w:cs="Times New Roman"/>
                <w:b/>
                <w:bCs/>
                <w:sz w:val="20"/>
                <w:szCs w:val="20"/>
              </w:rPr>
            </w:pPr>
            <w:r w:rsidRPr="00927BAD">
              <w:rPr>
                <w:rFonts w:cs="Times New Roman"/>
                <w:b/>
                <w:bCs/>
                <w:sz w:val="20"/>
                <w:szCs w:val="20"/>
              </w:rPr>
              <w:t>Site Class</w:t>
            </w:r>
          </w:p>
        </w:tc>
        <w:tc>
          <w:tcPr>
            <w:tcW w:w="2010" w:type="pct"/>
          </w:tcPr>
          <w:p w14:paraId="37FA44B0" w14:textId="77777777" w:rsidR="004C5428" w:rsidRPr="00927BAD" w:rsidRDefault="004C5428" w:rsidP="00DA1B47">
            <w:pPr>
              <w:autoSpaceDE w:val="0"/>
              <w:autoSpaceDN w:val="0"/>
              <w:adjustRightInd w:val="0"/>
              <w:spacing w:after="0" w:line="240" w:lineRule="auto"/>
              <w:jc w:val="both"/>
              <w:rPr>
                <w:rFonts w:cs="Times New Roman"/>
                <w:b/>
                <w:bCs/>
                <w:sz w:val="20"/>
                <w:szCs w:val="20"/>
              </w:rPr>
            </w:pPr>
            <w:r w:rsidRPr="00927BAD">
              <w:rPr>
                <w:rFonts w:cs="Times New Roman"/>
                <w:b/>
                <w:bCs/>
                <w:sz w:val="20"/>
                <w:szCs w:val="20"/>
              </w:rPr>
              <w:t>Geologic Description</w:t>
            </w:r>
          </w:p>
        </w:tc>
        <w:tc>
          <w:tcPr>
            <w:tcW w:w="1788" w:type="pct"/>
          </w:tcPr>
          <w:p w14:paraId="1729DCB2" w14:textId="77777777" w:rsidR="004C5428" w:rsidRPr="00927BAD" w:rsidRDefault="004C5428" w:rsidP="00DA1B47">
            <w:pPr>
              <w:autoSpaceDE w:val="0"/>
              <w:autoSpaceDN w:val="0"/>
              <w:adjustRightInd w:val="0"/>
              <w:spacing w:after="0" w:line="240" w:lineRule="auto"/>
              <w:jc w:val="both"/>
              <w:rPr>
                <w:rFonts w:cs="Times New Roman"/>
                <w:b/>
                <w:bCs/>
                <w:sz w:val="20"/>
                <w:szCs w:val="20"/>
              </w:rPr>
            </w:pPr>
            <w:r w:rsidRPr="00927BAD">
              <w:rPr>
                <w:rFonts w:cs="Times New Roman"/>
                <w:b/>
                <w:bCs/>
                <w:sz w:val="20"/>
                <w:szCs w:val="20"/>
              </w:rPr>
              <w:t>V</w:t>
            </w:r>
            <w:r w:rsidRPr="00927BAD">
              <w:rPr>
                <w:rFonts w:cs="Times New Roman"/>
                <w:b/>
                <w:bCs/>
                <w:sz w:val="20"/>
                <w:szCs w:val="20"/>
                <w:vertAlign w:val="subscript"/>
              </w:rPr>
              <w:t xml:space="preserve">S30 </w:t>
            </w:r>
            <w:r w:rsidRPr="00927BAD">
              <w:rPr>
                <w:rFonts w:cs="Times New Roman"/>
                <w:b/>
                <w:bCs/>
                <w:sz w:val="20"/>
                <w:szCs w:val="20"/>
              </w:rPr>
              <w:t>(m/s)</w:t>
            </w:r>
          </w:p>
        </w:tc>
      </w:tr>
      <w:tr w:rsidR="004C5428" w:rsidRPr="00927BAD" w14:paraId="42F9A3A4" w14:textId="77777777" w:rsidTr="00C52E7C">
        <w:trPr>
          <w:jc w:val="center"/>
        </w:trPr>
        <w:tc>
          <w:tcPr>
            <w:tcW w:w="1202" w:type="pct"/>
          </w:tcPr>
          <w:p w14:paraId="0E0EDA0D" w14:textId="77777777" w:rsidR="004C5428" w:rsidRPr="00927BAD" w:rsidRDefault="004C5428" w:rsidP="00DA1B47">
            <w:pPr>
              <w:autoSpaceDE w:val="0"/>
              <w:autoSpaceDN w:val="0"/>
              <w:adjustRightInd w:val="0"/>
              <w:spacing w:after="0" w:line="240" w:lineRule="auto"/>
              <w:jc w:val="both"/>
              <w:rPr>
                <w:rFonts w:cs="Times New Roman"/>
                <w:b/>
                <w:bCs/>
                <w:sz w:val="20"/>
                <w:szCs w:val="20"/>
              </w:rPr>
            </w:pPr>
            <w:r w:rsidRPr="00927BAD">
              <w:rPr>
                <w:rFonts w:cs="Times New Roman"/>
                <w:b/>
                <w:bCs/>
                <w:sz w:val="20"/>
                <w:szCs w:val="20"/>
              </w:rPr>
              <w:t>A</w:t>
            </w:r>
          </w:p>
        </w:tc>
        <w:tc>
          <w:tcPr>
            <w:tcW w:w="2010" w:type="pct"/>
          </w:tcPr>
          <w:p w14:paraId="6ACFEA41" w14:textId="77777777" w:rsidR="004C5428" w:rsidRPr="00927BAD" w:rsidRDefault="004C5428" w:rsidP="00DA1B47">
            <w:pPr>
              <w:autoSpaceDE w:val="0"/>
              <w:autoSpaceDN w:val="0"/>
              <w:adjustRightInd w:val="0"/>
              <w:spacing w:after="0" w:line="240" w:lineRule="auto"/>
              <w:jc w:val="both"/>
              <w:rPr>
                <w:rFonts w:cs="Times New Roman"/>
                <w:sz w:val="20"/>
                <w:szCs w:val="20"/>
              </w:rPr>
            </w:pPr>
            <w:r w:rsidRPr="00927BAD">
              <w:rPr>
                <w:rFonts w:cs="Times New Roman"/>
                <w:sz w:val="20"/>
                <w:szCs w:val="20"/>
              </w:rPr>
              <w:t>Hard Rock</w:t>
            </w:r>
          </w:p>
        </w:tc>
        <w:tc>
          <w:tcPr>
            <w:tcW w:w="1788" w:type="pct"/>
          </w:tcPr>
          <w:p w14:paraId="455AAF08" w14:textId="77777777" w:rsidR="004C5428" w:rsidRPr="00927BAD" w:rsidRDefault="004C5428" w:rsidP="00DA1B47">
            <w:pPr>
              <w:autoSpaceDE w:val="0"/>
              <w:autoSpaceDN w:val="0"/>
              <w:adjustRightInd w:val="0"/>
              <w:spacing w:after="0" w:line="240" w:lineRule="auto"/>
              <w:jc w:val="both"/>
              <w:rPr>
                <w:rFonts w:cs="Times New Roman"/>
                <w:sz w:val="20"/>
                <w:szCs w:val="20"/>
              </w:rPr>
            </w:pPr>
            <w:r w:rsidRPr="00927BAD">
              <w:rPr>
                <w:rFonts w:cs="Times New Roman"/>
                <w:sz w:val="20"/>
                <w:szCs w:val="20"/>
              </w:rPr>
              <w:t>V</w:t>
            </w:r>
            <w:r w:rsidRPr="00927BAD">
              <w:rPr>
                <w:rFonts w:cs="Times New Roman"/>
                <w:sz w:val="20"/>
                <w:szCs w:val="20"/>
                <w:vertAlign w:val="subscript"/>
              </w:rPr>
              <w:t xml:space="preserve">S30 </w:t>
            </w:r>
            <w:r w:rsidRPr="00927BAD">
              <w:rPr>
                <w:rFonts w:cs="Times New Roman"/>
                <w:sz w:val="20"/>
                <w:szCs w:val="20"/>
              </w:rPr>
              <w:t>&gt; 1500</w:t>
            </w:r>
          </w:p>
        </w:tc>
      </w:tr>
      <w:tr w:rsidR="004C5428" w:rsidRPr="00927BAD" w14:paraId="557431B0" w14:textId="77777777" w:rsidTr="00C52E7C">
        <w:trPr>
          <w:jc w:val="center"/>
        </w:trPr>
        <w:tc>
          <w:tcPr>
            <w:tcW w:w="1202" w:type="pct"/>
          </w:tcPr>
          <w:p w14:paraId="7E07AD55" w14:textId="77777777" w:rsidR="004C5428" w:rsidRPr="00927BAD" w:rsidRDefault="004C5428" w:rsidP="00DA1B47">
            <w:pPr>
              <w:autoSpaceDE w:val="0"/>
              <w:autoSpaceDN w:val="0"/>
              <w:adjustRightInd w:val="0"/>
              <w:spacing w:after="0" w:line="240" w:lineRule="auto"/>
              <w:jc w:val="both"/>
              <w:rPr>
                <w:rFonts w:cs="Times New Roman"/>
                <w:b/>
                <w:bCs/>
                <w:sz w:val="20"/>
                <w:szCs w:val="20"/>
              </w:rPr>
            </w:pPr>
            <w:r w:rsidRPr="00927BAD">
              <w:rPr>
                <w:rFonts w:cs="Times New Roman"/>
                <w:b/>
                <w:bCs/>
                <w:sz w:val="20"/>
                <w:szCs w:val="20"/>
              </w:rPr>
              <w:t>B</w:t>
            </w:r>
          </w:p>
        </w:tc>
        <w:tc>
          <w:tcPr>
            <w:tcW w:w="2010" w:type="pct"/>
          </w:tcPr>
          <w:p w14:paraId="07917F28" w14:textId="77777777" w:rsidR="004C5428" w:rsidRPr="00927BAD" w:rsidRDefault="004C5428" w:rsidP="00DA1B47">
            <w:pPr>
              <w:autoSpaceDE w:val="0"/>
              <w:autoSpaceDN w:val="0"/>
              <w:adjustRightInd w:val="0"/>
              <w:spacing w:after="0" w:line="240" w:lineRule="auto"/>
              <w:jc w:val="both"/>
              <w:rPr>
                <w:rFonts w:cs="Times New Roman"/>
                <w:sz w:val="20"/>
                <w:szCs w:val="20"/>
              </w:rPr>
            </w:pPr>
            <w:r w:rsidRPr="00927BAD">
              <w:rPr>
                <w:rFonts w:cs="Times New Roman"/>
                <w:sz w:val="20"/>
                <w:szCs w:val="20"/>
              </w:rPr>
              <w:t>Soft Rock</w:t>
            </w:r>
          </w:p>
        </w:tc>
        <w:tc>
          <w:tcPr>
            <w:tcW w:w="1788" w:type="pct"/>
          </w:tcPr>
          <w:p w14:paraId="73C7DCF2" w14:textId="77777777" w:rsidR="004C5428" w:rsidRPr="00927BAD" w:rsidRDefault="004C5428" w:rsidP="00DA1B47">
            <w:pPr>
              <w:autoSpaceDE w:val="0"/>
              <w:autoSpaceDN w:val="0"/>
              <w:adjustRightInd w:val="0"/>
              <w:spacing w:after="0" w:line="240" w:lineRule="auto"/>
              <w:jc w:val="both"/>
              <w:rPr>
                <w:rFonts w:cs="Times New Roman"/>
                <w:i/>
                <w:sz w:val="20"/>
                <w:szCs w:val="20"/>
              </w:rPr>
            </w:pPr>
            <w:r w:rsidRPr="00927BAD">
              <w:rPr>
                <w:rFonts w:cs="Times New Roman"/>
                <w:sz w:val="20"/>
                <w:szCs w:val="20"/>
              </w:rPr>
              <w:t>760</w:t>
            </w:r>
            <w:r w:rsidRPr="00927BAD">
              <w:rPr>
                <w:rFonts w:cs="Times New Roman"/>
                <w:i/>
                <w:sz w:val="20"/>
                <w:szCs w:val="20"/>
              </w:rPr>
              <w:t xml:space="preserve">&lt; </w:t>
            </w:r>
            <w:r w:rsidRPr="00927BAD">
              <w:rPr>
                <w:rFonts w:cs="Times New Roman"/>
                <w:sz w:val="20"/>
                <w:szCs w:val="20"/>
              </w:rPr>
              <w:t>V</w:t>
            </w:r>
            <w:r w:rsidRPr="00927BAD">
              <w:rPr>
                <w:rFonts w:cs="Times New Roman"/>
                <w:sz w:val="20"/>
                <w:szCs w:val="20"/>
                <w:vertAlign w:val="subscript"/>
              </w:rPr>
              <w:t xml:space="preserve">S30 </w:t>
            </w:r>
            <w:r w:rsidRPr="00927BAD">
              <w:rPr>
                <w:rFonts w:cs="Times New Roman"/>
                <w:i/>
                <w:sz w:val="20"/>
                <w:szCs w:val="20"/>
              </w:rPr>
              <w:t>≤</w:t>
            </w:r>
            <w:r w:rsidRPr="00927BAD">
              <w:rPr>
                <w:rFonts w:cs="Times New Roman"/>
                <w:sz w:val="20"/>
                <w:szCs w:val="20"/>
              </w:rPr>
              <w:t>1500</w:t>
            </w:r>
          </w:p>
        </w:tc>
      </w:tr>
      <w:tr w:rsidR="004C5428" w:rsidRPr="00927BAD" w14:paraId="117D53F1" w14:textId="77777777" w:rsidTr="00C52E7C">
        <w:trPr>
          <w:jc w:val="center"/>
        </w:trPr>
        <w:tc>
          <w:tcPr>
            <w:tcW w:w="1202" w:type="pct"/>
          </w:tcPr>
          <w:p w14:paraId="65A31DDA" w14:textId="77777777" w:rsidR="004C5428" w:rsidRPr="00927BAD" w:rsidRDefault="004C5428" w:rsidP="00DA1B47">
            <w:pPr>
              <w:autoSpaceDE w:val="0"/>
              <w:autoSpaceDN w:val="0"/>
              <w:adjustRightInd w:val="0"/>
              <w:spacing w:after="0" w:line="240" w:lineRule="auto"/>
              <w:jc w:val="both"/>
              <w:rPr>
                <w:rFonts w:cs="Times New Roman"/>
                <w:b/>
                <w:bCs/>
                <w:sz w:val="20"/>
                <w:szCs w:val="20"/>
              </w:rPr>
            </w:pPr>
            <w:r w:rsidRPr="00927BAD">
              <w:rPr>
                <w:rFonts w:cs="Times New Roman"/>
                <w:b/>
                <w:bCs/>
                <w:sz w:val="20"/>
                <w:szCs w:val="20"/>
              </w:rPr>
              <w:t>C</w:t>
            </w:r>
          </w:p>
        </w:tc>
        <w:tc>
          <w:tcPr>
            <w:tcW w:w="2010" w:type="pct"/>
          </w:tcPr>
          <w:p w14:paraId="3DBD2A22" w14:textId="77777777" w:rsidR="004C5428" w:rsidRPr="00927BAD" w:rsidRDefault="004C5428" w:rsidP="00DA1B47">
            <w:pPr>
              <w:autoSpaceDE w:val="0"/>
              <w:autoSpaceDN w:val="0"/>
              <w:adjustRightInd w:val="0"/>
              <w:spacing w:after="0" w:line="240" w:lineRule="auto"/>
              <w:jc w:val="both"/>
              <w:rPr>
                <w:rFonts w:cs="Times New Roman"/>
                <w:sz w:val="20"/>
                <w:szCs w:val="20"/>
              </w:rPr>
            </w:pPr>
            <w:r w:rsidRPr="00927BAD">
              <w:rPr>
                <w:rFonts w:cs="Times New Roman"/>
                <w:sz w:val="20"/>
                <w:szCs w:val="20"/>
              </w:rPr>
              <w:t>Stiff soil</w:t>
            </w:r>
          </w:p>
        </w:tc>
        <w:tc>
          <w:tcPr>
            <w:tcW w:w="1788" w:type="pct"/>
          </w:tcPr>
          <w:p w14:paraId="1D063072" w14:textId="77777777" w:rsidR="004C5428" w:rsidRPr="00927BAD" w:rsidRDefault="004C5428" w:rsidP="00DA1B47">
            <w:pPr>
              <w:autoSpaceDE w:val="0"/>
              <w:autoSpaceDN w:val="0"/>
              <w:adjustRightInd w:val="0"/>
              <w:spacing w:after="0" w:line="240" w:lineRule="auto"/>
              <w:jc w:val="both"/>
              <w:rPr>
                <w:rFonts w:cs="Times New Roman"/>
                <w:sz w:val="20"/>
                <w:szCs w:val="20"/>
              </w:rPr>
            </w:pPr>
            <w:r w:rsidRPr="00927BAD">
              <w:rPr>
                <w:rFonts w:cs="Times New Roman"/>
                <w:sz w:val="20"/>
                <w:szCs w:val="20"/>
              </w:rPr>
              <w:t>360&lt; V</w:t>
            </w:r>
            <w:r w:rsidRPr="00927BAD">
              <w:rPr>
                <w:rFonts w:cs="Times New Roman"/>
                <w:sz w:val="20"/>
                <w:szCs w:val="20"/>
                <w:vertAlign w:val="subscript"/>
              </w:rPr>
              <w:t xml:space="preserve">S30 </w:t>
            </w:r>
            <w:r w:rsidRPr="00927BAD">
              <w:rPr>
                <w:rFonts w:cs="Times New Roman"/>
                <w:sz w:val="20"/>
                <w:szCs w:val="20"/>
              </w:rPr>
              <w:t>≤760</w:t>
            </w:r>
          </w:p>
        </w:tc>
      </w:tr>
      <w:tr w:rsidR="004C5428" w:rsidRPr="00927BAD" w14:paraId="10C33120" w14:textId="77777777" w:rsidTr="00C52E7C">
        <w:trPr>
          <w:jc w:val="center"/>
        </w:trPr>
        <w:tc>
          <w:tcPr>
            <w:tcW w:w="1202" w:type="pct"/>
          </w:tcPr>
          <w:p w14:paraId="100A05D1" w14:textId="77777777" w:rsidR="004C5428" w:rsidRPr="00927BAD" w:rsidRDefault="004C5428" w:rsidP="00DA1B47">
            <w:pPr>
              <w:autoSpaceDE w:val="0"/>
              <w:autoSpaceDN w:val="0"/>
              <w:adjustRightInd w:val="0"/>
              <w:spacing w:after="0" w:line="240" w:lineRule="auto"/>
              <w:jc w:val="both"/>
              <w:rPr>
                <w:rFonts w:cs="Times New Roman"/>
                <w:b/>
                <w:bCs/>
                <w:sz w:val="20"/>
                <w:szCs w:val="20"/>
              </w:rPr>
            </w:pPr>
            <w:r w:rsidRPr="00927BAD">
              <w:rPr>
                <w:rFonts w:cs="Times New Roman"/>
                <w:b/>
                <w:bCs/>
                <w:sz w:val="20"/>
                <w:szCs w:val="20"/>
              </w:rPr>
              <w:t>D</w:t>
            </w:r>
          </w:p>
        </w:tc>
        <w:tc>
          <w:tcPr>
            <w:tcW w:w="2010" w:type="pct"/>
          </w:tcPr>
          <w:p w14:paraId="6B8DDE6B" w14:textId="77777777" w:rsidR="004C5428" w:rsidRPr="00927BAD" w:rsidRDefault="004C5428" w:rsidP="00DA1B47">
            <w:pPr>
              <w:autoSpaceDE w:val="0"/>
              <w:autoSpaceDN w:val="0"/>
              <w:adjustRightInd w:val="0"/>
              <w:spacing w:after="0" w:line="240" w:lineRule="auto"/>
              <w:jc w:val="both"/>
              <w:rPr>
                <w:rFonts w:cs="Times New Roman"/>
                <w:sz w:val="20"/>
                <w:szCs w:val="20"/>
              </w:rPr>
            </w:pPr>
            <w:r w:rsidRPr="00927BAD">
              <w:rPr>
                <w:rFonts w:cs="Times New Roman"/>
                <w:sz w:val="20"/>
                <w:szCs w:val="20"/>
              </w:rPr>
              <w:t>Soft soil</w:t>
            </w:r>
          </w:p>
        </w:tc>
        <w:tc>
          <w:tcPr>
            <w:tcW w:w="1788" w:type="pct"/>
          </w:tcPr>
          <w:p w14:paraId="3C9A9141" w14:textId="77777777" w:rsidR="004C5428" w:rsidRPr="00927BAD" w:rsidRDefault="004C5428" w:rsidP="00DA1B47">
            <w:pPr>
              <w:autoSpaceDE w:val="0"/>
              <w:autoSpaceDN w:val="0"/>
              <w:adjustRightInd w:val="0"/>
              <w:spacing w:after="0" w:line="240" w:lineRule="auto"/>
              <w:jc w:val="both"/>
              <w:rPr>
                <w:rFonts w:cs="Times New Roman"/>
                <w:sz w:val="20"/>
                <w:szCs w:val="20"/>
              </w:rPr>
            </w:pPr>
            <w:r w:rsidRPr="00927BAD">
              <w:rPr>
                <w:rFonts w:cs="Times New Roman"/>
                <w:sz w:val="20"/>
                <w:szCs w:val="20"/>
              </w:rPr>
              <w:t>180&lt; V</w:t>
            </w:r>
            <w:r w:rsidRPr="00927BAD">
              <w:rPr>
                <w:rFonts w:cs="Times New Roman"/>
                <w:sz w:val="20"/>
                <w:szCs w:val="20"/>
                <w:vertAlign w:val="subscript"/>
              </w:rPr>
              <w:t xml:space="preserve">S30 </w:t>
            </w:r>
            <w:r w:rsidRPr="00927BAD">
              <w:rPr>
                <w:rFonts w:cs="Times New Roman"/>
                <w:sz w:val="20"/>
                <w:szCs w:val="20"/>
              </w:rPr>
              <w:t>≤360</w:t>
            </w:r>
          </w:p>
        </w:tc>
      </w:tr>
      <w:tr w:rsidR="004C5428" w:rsidRPr="00927BAD" w14:paraId="5AB0D033" w14:textId="77777777" w:rsidTr="00C52E7C">
        <w:trPr>
          <w:jc w:val="center"/>
        </w:trPr>
        <w:tc>
          <w:tcPr>
            <w:tcW w:w="1202" w:type="pct"/>
          </w:tcPr>
          <w:p w14:paraId="2B40492E" w14:textId="77777777" w:rsidR="004C5428" w:rsidRPr="00927BAD" w:rsidRDefault="004C5428" w:rsidP="00DA1B47">
            <w:pPr>
              <w:autoSpaceDE w:val="0"/>
              <w:autoSpaceDN w:val="0"/>
              <w:adjustRightInd w:val="0"/>
              <w:spacing w:after="0" w:line="240" w:lineRule="auto"/>
              <w:jc w:val="both"/>
              <w:rPr>
                <w:rFonts w:cs="Times New Roman"/>
                <w:b/>
                <w:bCs/>
                <w:sz w:val="20"/>
                <w:szCs w:val="20"/>
              </w:rPr>
            </w:pPr>
            <w:r w:rsidRPr="00927BAD">
              <w:rPr>
                <w:rFonts w:cs="Times New Roman"/>
                <w:b/>
                <w:bCs/>
                <w:sz w:val="20"/>
                <w:szCs w:val="20"/>
              </w:rPr>
              <w:t>E</w:t>
            </w:r>
          </w:p>
        </w:tc>
        <w:tc>
          <w:tcPr>
            <w:tcW w:w="2010" w:type="pct"/>
          </w:tcPr>
          <w:p w14:paraId="5C443829" w14:textId="77777777" w:rsidR="004C5428" w:rsidRPr="00927BAD" w:rsidRDefault="004C5428" w:rsidP="00DA1B47">
            <w:pPr>
              <w:autoSpaceDE w:val="0"/>
              <w:autoSpaceDN w:val="0"/>
              <w:adjustRightInd w:val="0"/>
              <w:spacing w:after="0" w:line="240" w:lineRule="auto"/>
              <w:jc w:val="both"/>
              <w:rPr>
                <w:rFonts w:cs="Times New Roman"/>
                <w:sz w:val="20"/>
                <w:szCs w:val="20"/>
              </w:rPr>
            </w:pPr>
            <w:r w:rsidRPr="00927BAD">
              <w:rPr>
                <w:rFonts w:cs="Times New Roman"/>
                <w:sz w:val="20"/>
                <w:szCs w:val="20"/>
              </w:rPr>
              <w:t>Very soft soil</w:t>
            </w:r>
          </w:p>
        </w:tc>
        <w:tc>
          <w:tcPr>
            <w:tcW w:w="1788" w:type="pct"/>
          </w:tcPr>
          <w:p w14:paraId="402B5D8D" w14:textId="77777777" w:rsidR="004C5428" w:rsidRPr="00927BAD" w:rsidRDefault="004C5428" w:rsidP="00DA1B47">
            <w:pPr>
              <w:autoSpaceDE w:val="0"/>
              <w:autoSpaceDN w:val="0"/>
              <w:adjustRightInd w:val="0"/>
              <w:spacing w:after="0" w:line="240" w:lineRule="auto"/>
              <w:jc w:val="both"/>
              <w:rPr>
                <w:rFonts w:cs="Times New Roman"/>
                <w:sz w:val="20"/>
                <w:szCs w:val="20"/>
              </w:rPr>
            </w:pPr>
            <w:r w:rsidRPr="00927BAD">
              <w:rPr>
                <w:rFonts w:cs="Times New Roman"/>
                <w:sz w:val="20"/>
                <w:szCs w:val="20"/>
              </w:rPr>
              <w:t>V</w:t>
            </w:r>
            <w:r w:rsidRPr="00927BAD">
              <w:rPr>
                <w:rFonts w:cs="Times New Roman"/>
                <w:sz w:val="20"/>
                <w:szCs w:val="20"/>
                <w:vertAlign w:val="subscript"/>
              </w:rPr>
              <w:t xml:space="preserve">S30 </w:t>
            </w:r>
            <w:r w:rsidRPr="00927BAD">
              <w:rPr>
                <w:rFonts w:cs="Times New Roman"/>
                <w:sz w:val="20"/>
                <w:szCs w:val="20"/>
              </w:rPr>
              <w:t>≤180</w:t>
            </w:r>
          </w:p>
        </w:tc>
      </w:tr>
    </w:tbl>
    <w:p w14:paraId="4C301688" w14:textId="77777777" w:rsidR="004C5428" w:rsidRPr="00927BAD" w:rsidRDefault="004C5428" w:rsidP="00DA1B47">
      <w:pPr>
        <w:spacing w:line="240" w:lineRule="auto"/>
        <w:jc w:val="both"/>
        <w:rPr>
          <w:rFonts w:cs="Times New Roman"/>
          <w:sz w:val="20"/>
          <w:szCs w:val="20"/>
        </w:rPr>
      </w:pPr>
    </w:p>
    <w:p w14:paraId="6BDD4FB9" w14:textId="63FA65BA" w:rsidR="004C5428" w:rsidRPr="00927BAD" w:rsidRDefault="004C5428" w:rsidP="00DA1B47">
      <w:pPr>
        <w:spacing w:line="240" w:lineRule="auto"/>
        <w:jc w:val="both"/>
        <w:rPr>
          <w:rFonts w:cs="Times New Roman"/>
          <w:sz w:val="20"/>
          <w:szCs w:val="20"/>
        </w:rPr>
      </w:pPr>
      <w:r w:rsidRPr="00927BAD">
        <w:rPr>
          <w:rFonts w:cs="Times New Roman"/>
          <w:sz w:val="20"/>
          <w:szCs w:val="20"/>
        </w:rPr>
        <w:t xml:space="preserve">Most of the stations are located on soft rock (Site Class B), followed by stiff rock (site class C). This is illustrated clearly in </w:t>
      </w:r>
      <w:r w:rsidRPr="00927BAD">
        <w:rPr>
          <w:rFonts w:cs="Times New Roman"/>
          <w:sz w:val="20"/>
          <w:szCs w:val="20"/>
        </w:rPr>
        <w:fldChar w:fldCharType="begin"/>
      </w:r>
      <w:r w:rsidRPr="00927BAD">
        <w:rPr>
          <w:rFonts w:cs="Times New Roman"/>
          <w:sz w:val="20"/>
          <w:szCs w:val="20"/>
        </w:rPr>
        <w:instrText xml:space="preserve"> REF _Ref50033679 \h  \* MERGEFORMAT </w:instrText>
      </w:r>
      <w:r w:rsidRPr="00927BAD">
        <w:rPr>
          <w:rFonts w:cs="Times New Roman"/>
          <w:sz w:val="20"/>
          <w:szCs w:val="20"/>
        </w:rPr>
      </w:r>
      <w:r w:rsidRPr="00927BAD">
        <w:rPr>
          <w:rFonts w:cs="Times New Roman"/>
          <w:sz w:val="20"/>
          <w:szCs w:val="20"/>
        </w:rPr>
        <w:fldChar w:fldCharType="separate"/>
      </w:r>
      <w:r w:rsidR="00F134E0" w:rsidRPr="00927BAD">
        <w:rPr>
          <w:rFonts w:cs="Times New Roman"/>
          <w:sz w:val="20"/>
          <w:szCs w:val="20"/>
        </w:rPr>
        <w:t xml:space="preserve">Figure </w:t>
      </w:r>
      <w:r w:rsidR="00F134E0" w:rsidRPr="00927BAD">
        <w:rPr>
          <w:rFonts w:cs="Times New Roman"/>
          <w:noProof/>
          <w:sz w:val="20"/>
          <w:szCs w:val="20"/>
        </w:rPr>
        <w:t>2</w:t>
      </w:r>
      <w:r w:rsidRPr="00927BAD">
        <w:rPr>
          <w:rFonts w:cs="Times New Roman"/>
          <w:sz w:val="20"/>
          <w:szCs w:val="20"/>
        </w:rPr>
        <w:fldChar w:fldCharType="end"/>
      </w:r>
      <w:r w:rsidRPr="00927BAD">
        <w:rPr>
          <w:rFonts w:cs="Times New Roman"/>
          <w:sz w:val="20"/>
          <w:szCs w:val="20"/>
        </w:rPr>
        <w:t xml:space="preserve">, which shows the distribution of earthquake magnitude with hypocentral distance, where each record is linked to the appropriate site conditions. </w:t>
      </w:r>
    </w:p>
    <w:p w14:paraId="244850C3" w14:textId="77777777" w:rsidR="004C5428" w:rsidRPr="00927BAD" w:rsidRDefault="004C5428" w:rsidP="00DA1B47">
      <w:pPr>
        <w:spacing w:line="240" w:lineRule="auto"/>
        <w:jc w:val="both"/>
        <w:rPr>
          <w:rFonts w:cs="Times New Roman"/>
          <w:sz w:val="20"/>
          <w:szCs w:val="20"/>
        </w:rPr>
      </w:pPr>
    </w:p>
    <w:p w14:paraId="054F19B1" w14:textId="77777777" w:rsidR="004C5428" w:rsidRPr="00927BAD" w:rsidRDefault="004C5428" w:rsidP="00DA1B47">
      <w:pPr>
        <w:keepNext/>
        <w:spacing w:line="240" w:lineRule="auto"/>
        <w:jc w:val="both"/>
        <w:rPr>
          <w:rFonts w:cs="Times New Roman"/>
          <w:sz w:val="20"/>
          <w:szCs w:val="20"/>
        </w:rPr>
      </w:pPr>
      <w:r w:rsidRPr="00927BAD">
        <w:rPr>
          <w:rFonts w:eastAsia="Times New Roman" w:cs="Times New Roman"/>
          <w:noProof/>
          <w:snapToGrid w:val="0"/>
          <w:color w:val="000000"/>
          <w:w w:val="0"/>
          <w:sz w:val="20"/>
          <w:szCs w:val="20"/>
          <w:u w:color="000000"/>
          <w:bdr w:val="none" w:sz="0" w:space="0" w:color="000000"/>
          <w:shd w:val="clear" w:color="000000" w:fill="000000"/>
          <w:lang w:val="en-ZW" w:eastAsia="en-ZW"/>
        </w:rPr>
        <w:drawing>
          <wp:inline distT="0" distB="0" distL="0" distR="0" wp14:anchorId="0DB07D28" wp14:editId="0037807C">
            <wp:extent cx="4088973" cy="2854519"/>
            <wp:effectExtent l="0" t="0" r="6985" b="3175"/>
            <wp:docPr id="193" name="Picture 193" descr="E:\RESEARCH\PHD\CHAPTERS\Chapter 7 GMPE\NEHRP clas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E:\RESEARCH\PHD\CHAPTERS\Chapter 7 GMPE\NEHRP class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0268" cy="2855423"/>
                    </a:xfrm>
                    <a:prstGeom prst="rect">
                      <a:avLst/>
                    </a:prstGeom>
                    <a:noFill/>
                    <a:ln>
                      <a:noFill/>
                    </a:ln>
                  </pic:spPr>
                </pic:pic>
              </a:graphicData>
            </a:graphic>
          </wp:inline>
        </w:drawing>
      </w:r>
    </w:p>
    <w:p w14:paraId="46994E67" w14:textId="6BFB7DF9" w:rsidR="004C5428" w:rsidRPr="00927BAD" w:rsidRDefault="004C5428" w:rsidP="00DA1B47">
      <w:pPr>
        <w:pStyle w:val="Caption"/>
        <w:jc w:val="both"/>
        <w:rPr>
          <w:rFonts w:cs="Times New Roman"/>
          <w:color w:val="auto"/>
          <w:sz w:val="20"/>
          <w:szCs w:val="20"/>
        </w:rPr>
      </w:pPr>
      <w:bookmarkStart w:id="16" w:name="_Ref50033679"/>
      <w:bookmarkStart w:id="17" w:name="_Toc69136518"/>
      <w:r w:rsidRPr="00744F1E">
        <w:rPr>
          <w:rFonts w:cs="Times New Roman"/>
          <w:b w:val="0"/>
          <w:color w:val="auto"/>
          <w:sz w:val="20"/>
          <w:szCs w:val="20"/>
        </w:rPr>
        <w:t xml:space="preserve">Figure </w:t>
      </w:r>
      <w:r w:rsidR="002F3BD5" w:rsidRPr="00744F1E">
        <w:rPr>
          <w:rFonts w:cs="Times New Roman"/>
          <w:b w:val="0"/>
          <w:color w:val="auto"/>
          <w:sz w:val="20"/>
          <w:szCs w:val="20"/>
        </w:rPr>
        <w:fldChar w:fldCharType="begin"/>
      </w:r>
      <w:r w:rsidR="002F3BD5" w:rsidRPr="00744F1E">
        <w:rPr>
          <w:rFonts w:cs="Times New Roman"/>
          <w:b w:val="0"/>
          <w:color w:val="auto"/>
          <w:sz w:val="20"/>
          <w:szCs w:val="20"/>
        </w:rPr>
        <w:instrText xml:space="preserve"> SEQ Figure \* ARABIC </w:instrText>
      </w:r>
      <w:r w:rsidR="002F3BD5" w:rsidRPr="00744F1E">
        <w:rPr>
          <w:rFonts w:cs="Times New Roman"/>
          <w:b w:val="0"/>
          <w:color w:val="auto"/>
          <w:sz w:val="20"/>
          <w:szCs w:val="20"/>
        </w:rPr>
        <w:fldChar w:fldCharType="separate"/>
      </w:r>
      <w:r w:rsidR="002F3BD5" w:rsidRPr="00744F1E">
        <w:rPr>
          <w:rFonts w:cs="Times New Roman"/>
          <w:b w:val="0"/>
          <w:noProof/>
          <w:color w:val="auto"/>
          <w:sz w:val="20"/>
          <w:szCs w:val="20"/>
        </w:rPr>
        <w:t>2</w:t>
      </w:r>
      <w:r w:rsidR="002F3BD5" w:rsidRPr="00744F1E">
        <w:rPr>
          <w:rFonts w:cs="Times New Roman"/>
          <w:b w:val="0"/>
          <w:color w:val="auto"/>
          <w:sz w:val="20"/>
          <w:szCs w:val="20"/>
        </w:rPr>
        <w:fldChar w:fldCharType="end"/>
      </w:r>
      <w:bookmarkEnd w:id="16"/>
      <w:r w:rsidRPr="00744F1E">
        <w:rPr>
          <w:rFonts w:cs="Times New Roman"/>
          <w:b w:val="0"/>
          <w:color w:val="auto"/>
          <w:sz w:val="20"/>
          <w:szCs w:val="20"/>
        </w:rPr>
        <w:t>:</w:t>
      </w:r>
      <w:r w:rsidRPr="00927BAD">
        <w:rPr>
          <w:rFonts w:cs="Times New Roman"/>
          <w:color w:val="auto"/>
          <w:sz w:val="20"/>
          <w:szCs w:val="20"/>
        </w:rPr>
        <w:t xml:space="preserve"> </w:t>
      </w:r>
      <w:r w:rsidRPr="00927BAD">
        <w:rPr>
          <w:rFonts w:cs="Times New Roman"/>
          <w:b w:val="0"/>
          <w:color w:val="auto"/>
          <w:sz w:val="20"/>
          <w:szCs w:val="20"/>
        </w:rPr>
        <w:t>Illustration of site classification of the seismic station records representing different site classes based on NEHRP site classification.</w:t>
      </w:r>
      <w:bookmarkEnd w:id="5"/>
      <w:bookmarkEnd w:id="17"/>
    </w:p>
    <w:p w14:paraId="02619A9E" w14:textId="77777777" w:rsidR="004C5428" w:rsidRPr="00927BAD" w:rsidRDefault="004C5428" w:rsidP="00DA1B47">
      <w:pPr>
        <w:spacing w:line="240" w:lineRule="auto"/>
        <w:jc w:val="both"/>
        <w:rPr>
          <w:rFonts w:cs="Times New Roman"/>
          <w:sz w:val="20"/>
          <w:szCs w:val="20"/>
        </w:rPr>
      </w:pPr>
    </w:p>
    <w:p w14:paraId="757540AA" w14:textId="3874D95C" w:rsidR="004C5428" w:rsidRPr="00927BAD" w:rsidRDefault="004C5428" w:rsidP="00C9156C">
      <w:pPr>
        <w:spacing w:line="240" w:lineRule="auto"/>
        <w:ind w:firstLine="720"/>
        <w:jc w:val="both"/>
        <w:rPr>
          <w:rFonts w:eastAsia="Calibri" w:cs="Times New Roman"/>
          <w:sz w:val="20"/>
          <w:szCs w:val="20"/>
        </w:rPr>
      </w:pPr>
      <w:r w:rsidRPr="00927BAD">
        <w:rPr>
          <w:rFonts w:eastAsia="Calibri" w:cs="Times New Roman"/>
          <w:sz w:val="20"/>
          <w:szCs w:val="20"/>
        </w:rPr>
        <w:t>The comparison of observed and calculated ground motion is carried out by calculating residuals. Residuals are generally defined as the difference between the natural logarithm of the observed parameter (</w:t>
      </w:r>
      <w:r w:rsidRPr="00927BAD">
        <w:rPr>
          <w:rFonts w:eastAsia="Calibri" w:cs="Times New Roman"/>
          <w:i/>
          <w:sz w:val="20"/>
          <w:szCs w:val="20"/>
        </w:rPr>
        <w:t>Y</w:t>
      </w:r>
      <w:r w:rsidRPr="00927BAD">
        <w:rPr>
          <w:rFonts w:eastAsia="Calibri" w:cs="Times New Roman"/>
          <w:i/>
          <w:sz w:val="20"/>
          <w:szCs w:val="20"/>
          <w:vertAlign w:val="subscript"/>
        </w:rPr>
        <w:t>ij</w:t>
      </w:r>
      <w:r w:rsidRPr="00927BAD">
        <w:rPr>
          <w:rFonts w:eastAsia="Calibri" w:cs="Times New Roman"/>
          <w:sz w:val="20"/>
          <w:szCs w:val="20"/>
        </w:rPr>
        <w:t>) and the mean calculated parameters (Ŷ) for a given GMPE (equation 1; Shoja-Taheri et al., 2010; Skarlatoudis, 2017). For each observed waveform, the ground motion parameter</w:t>
      </w:r>
      <w:r w:rsidR="002F3BD5" w:rsidRPr="00927BAD">
        <w:rPr>
          <w:rFonts w:eastAsia="Calibri" w:cs="Times New Roman"/>
          <w:sz w:val="20"/>
          <w:szCs w:val="20"/>
        </w:rPr>
        <w:t>s</w:t>
      </w:r>
      <w:r w:rsidRPr="00927BAD">
        <w:rPr>
          <w:rFonts w:eastAsia="Calibri" w:cs="Times New Roman"/>
          <w:sz w:val="20"/>
          <w:szCs w:val="20"/>
        </w:rPr>
        <w:t xml:space="preserve"> are extracted at different</w:t>
      </w:r>
      <w:r w:rsidR="002B3B9F" w:rsidRPr="00927BAD">
        <w:rPr>
          <w:rFonts w:eastAsia="Calibri" w:cs="Times New Roman"/>
          <w:sz w:val="20"/>
          <w:szCs w:val="20"/>
        </w:rPr>
        <w:t xml:space="preserve"> </w:t>
      </w:r>
      <w:r w:rsidRPr="00927BAD">
        <w:rPr>
          <w:rFonts w:eastAsia="Calibri" w:cs="Times New Roman"/>
          <w:sz w:val="20"/>
          <w:szCs w:val="20"/>
        </w:rPr>
        <w:t xml:space="preserve">spectral periods. Each ground motion parameter is compared with </w:t>
      </w:r>
      <w:r w:rsidR="002B3B9F" w:rsidRPr="00927BAD">
        <w:rPr>
          <w:rFonts w:eastAsia="Calibri" w:cs="Times New Roman"/>
          <w:sz w:val="20"/>
          <w:szCs w:val="20"/>
        </w:rPr>
        <w:t xml:space="preserve">predicted ground motion by </w:t>
      </w:r>
      <w:r w:rsidRPr="00927BAD">
        <w:rPr>
          <w:rFonts w:eastAsia="Calibri" w:cs="Times New Roman"/>
          <w:sz w:val="20"/>
          <w:szCs w:val="20"/>
        </w:rPr>
        <w:t xml:space="preserve">each individual GMPE at different spectral periods to compute the required residuals. </w:t>
      </w:r>
    </w:p>
    <w:p w14:paraId="2E3EAC7A" w14:textId="5D81FC2C" w:rsidR="004C5428" w:rsidRPr="00927BAD" w:rsidRDefault="00295EAB" w:rsidP="00DA1B47">
      <w:pPr>
        <w:spacing w:line="240" w:lineRule="auto"/>
        <w:jc w:val="center"/>
        <w:rPr>
          <w:rFonts w:cs="Times New Roman"/>
          <w:i/>
          <w:sz w:val="20"/>
          <w:szCs w:val="20"/>
        </w:rPr>
      </w:pP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ij</m:t>
            </m:r>
          </m:sub>
        </m:sSub>
        <m:r>
          <m:rPr>
            <m:sty m:val="bi"/>
          </m:rPr>
          <w:rPr>
            <w:rFonts w:ascii="Cambria Math" w:hAnsi="Cambria Math" w:cs="Times New Roman"/>
            <w:sz w:val="20"/>
            <w:szCs w:val="20"/>
          </w:rPr>
          <m:t>=</m:t>
        </m:r>
        <m:sSub>
          <m:sSubPr>
            <m:ctrlPr>
              <w:rPr>
                <w:rFonts w:ascii="Cambria Math" w:hAnsi="Cambria Math" w:cs="Times New Roman"/>
                <w:b/>
                <w:i/>
                <w:sz w:val="20"/>
                <w:szCs w:val="20"/>
              </w:rPr>
            </m:ctrlPr>
          </m:sSubPr>
          <m:e>
            <m:r>
              <m:rPr>
                <m:sty m:val="bi"/>
              </m:rPr>
              <w:rPr>
                <w:rFonts w:ascii="Cambria Math" w:hAnsi="Cambria Math" w:cs="Times New Roman"/>
                <w:sz w:val="20"/>
                <w:szCs w:val="20"/>
              </w:rPr>
              <m:t>lnY</m:t>
            </m:r>
          </m:e>
          <m:sub>
            <m:r>
              <m:rPr>
                <m:sty m:val="bi"/>
              </m:rPr>
              <w:rPr>
                <w:rFonts w:ascii="Cambria Math" w:hAnsi="Cambria Math" w:cs="Times New Roman"/>
                <w:sz w:val="20"/>
                <w:szCs w:val="20"/>
              </w:rPr>
              <m:t>ij</m:t>
            </m:r>
          </m:sub>
        </m:sSub>
        <m:r>
          <m:rPr>
            <m:sty m:val="bi"/>
          </m:rPr>
          <w:rPr>
            <w:rFonts w:ascii="Cambria Math" w:hAnsi="Cambria Math" w:cs="Times New Roman"/>
            <w:sz w:val="20"/>
            <w:szCs w:val="20"/>
          </w:rPr>
          <m:t>-</m:t>
        </m:r>
        <m:func>
          <m:funcPr>
            <m:ctrlPr>
              <w:rPr>
                <w:rFonts w:ascii="Cambria Math" w:hAnsi="Cambria Math" w:cs="Times New Roman"/>
                <w:b/>
                <w:i/>
                <w:sz w:val="20"/>
                <w:szCs w:val="20"/>
              </w:rPr>
            </m:ctrlPr>
          </m:funcPr>
          <m:fName>
            <m:r>
              <m:rPr>
                <m:sty m:val="bi"/>
              </m:rPr>
              <w:rPr>
                <w:rFonts w:ascii="Cambria Math" w:hAnsi="Cambria Math" w:cs="Times New Roman"/>
                <w:sz w:val="20"/>
                <w:szCs w:val="20"/>
              </w:rPr>
              <m:t>ln</m:t>
            </m:r>
          </m:fName>
          <m:e>
            <m:r>
              <m:rPr>
                <m:sty m:val="bi"/>
              </m:rPr>
              <w:rPr>
                <w:rFonts w:ascii="Cambria Math" w:hAnsi="Cambria Math" w:cs="Times New Roman"/>
                <w:sz w:val="20"/>
                <w:szCs w:val="20"/>
              </w:rPr>
              <m:t>Ŷ</m:t>
            </m:r>
          </m:e>
        </m:func>
      </m:oMath>
      <w:r w:rsidR="004C5428" w:rsidRPr="00927BAD">
        <w:rPr>
          <w:rFonts w:eastAsiaTheme="minorEastAsia" w:cs="Times New Roman"/>
          <w:i/>
          <w:sz w:val="20"/>
          <w:szCs w:val="20"/>
        </w:rPr>
        <w:t xml:space="preserve">  </w:t>
      </w:r>
      <w:r w:rsidR="004C5428" w:rsidRPr="00927BAD">
        <w:rPr>
          <w:rFonts w:cs="Times New Roman"/>
          <w:i/>
          <w:sz w:val="20"/>
          <w:szCs w:val="20"/>
        </w:rPr>
        <w:tab/>
      </w:r>
      <w:r w:rsidR="004C5428" w:rsidRPr="00927BAD">
        <w:rPr>
          <w:rFonts w:cs="Times New Roman"/>
          <w:sz w:val="20"/>
          <w:szCs w:val="20"/>
        </w:rPr>
        <w:tab/>
      </w:r>
      <w:r w:rsidR="00E6542A">
        <w:rPr>
          <w:rFonts w:cs="Times New Roman"/>
          <w:sz w:val="20"/>
          <w:szCs w:val="20"/>
        </w:rPr>
        <w:t xml:space="preserve">                                   </w:t>
      </w:r>
      <w:r w:rsidR="00106178">
        <w:rPr>
          <w:rFonts w:cs="Times New Roman"/>
          <w:sz w:val="20"/>
          <w:szCs w:val="20"/>
        </w:rPr>
        <w:t>[</w:t>
      </w:r>
      <w:r w:rsidR="004C5428" w:rsidRPr="00927BAD">
        <w:rPr>
          <w:rFonts w:cs="Times New Roman"/>
          <w:sz w:val="20"/>
          <w:szCs w:val="20"/>
        </w:rPr>
        <w:t>1</w:t>
      </w:r>
      <w:r w:rsidR="00106178">
        <w:rPr>
          <w:rFonts w:cs="Times New Roman"/>
          <w:sz w:val="20"/>
          <w:szCs w:val="20"/>
        </w:rPr>
        <w:t>]</w:t>
      </w:r>
    </w:p>
    <w:p w14:paraId="356B9252" w14:textId="77777777" w:rsidR="004C5428" w:rsidRPr="00927BAD" w:rsidRDefault="004C5428" w:rsidP="00DA1B47">
      <w:pPr>
        <w:spacing w:line="240" w:lineRule="auto"/>
        <w:jc w:val="both"/>
        <w:rPr>
          <w:rFonts w:cs="Times New Roman"/>
          <w:sz w:val="20"/>
          <w:szCs w:val="20"/>
        </w:rPr>
      </w:pPr>
    </w:p>
    <w:p w14:paraId="7AD930FF" w14:textId="771EC9D8" w:rsidR="004C5428" w:rsidRPr="00927BAD" w:rsidRDefault="004C5428" w:rsidP="00DA1B47">
      <w:pPr>
        <w:spacing w:line="240" w:lineRule="auto"/>
        <w:jc w:val="both"/>
        <w:rPr>
          <w:rFonts w:cs="Times New Roman"/>
          <w:sz w:val="20"/>
          <w:szCs w:val="20"/>
        </w:rPr>
      </w:pPr>
      <w:r w:rsidRPr="00927BAD">
        <w:rPr>
          <w:rFonts w:cs="Times New Roman"/>
          <w:sz w:val="20"/>
          <w:szCs w:val="20"/>
        </w:rPr>
        <w:t xml:space="preserve">where </w:t>
      </w:r>
      <w:r w:rsidRPr="00927BAD">
        <w:rPr>
          <w:rFonts w:cs="Times New Roman"/>
          <w:i/>
          <w:sz w:val="20"/>
          <w:szCs w:val="20"/>
        </w:rPr>
        <w:t>lnY</w:t>
      </w:r>
      <w:r w:rsidRPr="00927BAD">
        <w:rPr>
          <w:rFonts w:cs="Times New Roman"/>
          <w:i/>
          <w:sz w:val="20"/>
          <w:szCs w:val="20"/>
          <w:vertAlign w:val="subscript"/>
        </w:rPr>
        <w:t>ij</w:t>
      </w:r>
      <w:r w:rsidRPr="00927BAD">
        <w:rPr>
          <w:rFonts w:cs="Times New Roman"/>
          <w:sz w:val="20"/>
          <w:szCs w:val="20"/>
        </w:rPr>
        <w:t xml:space="preserve"> is the value of the </w:t>
      </w:r>
      <w:r w:rsidRPr="00927BAD">
        <w:rPr>
          <w:rFonts w:cs="Times New Roman"/>
          <w:i/>
          <w:sz w:val="20"/>
          <w:szCs w:val="20"/>
        </w:rPr>
        <w:t>j</w:t>
      </w:r>
      <w:r w:rsidRPr="00927BAD">
        <w:rPr>
          <w:rFonts w:cs="Times New Roman"/>
          <w:i/>
          <w:sz w:val="20"/>
          <w:szCs w:val="20"/>
          <w:vertAlign w:val="superscript"/>
        </w:rPr>
        <w:t>th</w:t>
      </w:r>
      <w:r w:rsidRPr="00927BAD">
        <w:rPr>
          <w:rFonts w:cs="Times New Roman"/>
          <w:sz w:val="20"/>
          <w:szCs w:val="20"/>
        </w:rPr>
        <w:t xml:space="preserve"> record </w:t>
      </w:r>
      <w:r w:rsidR="002B3B9F" w:rsidRPr="00927BAD">
        <w:rPr>
          <w:rFonts w:cs="Times New Roman"/>
          <w:sz w:val="20"/>
          <w:szCs w:val="20"/>
        </w:rPr>
        <w:t>of</w:t>
      </w:r>
      <w:r w:rsidRPr="00927BAD">
        <w:rPr>
          <w:rFonts w:cs="Times New Roman"/>
          <w:sz w:val="20"/>
          <w:szCs w:val="20"/>
        </w:rPr>
        <w:t xml:space="preserve"> the</w:t>
      </w:r>
      <w:r w:rsidRPr="00927BAD">
        <w:rPr>
          <w:rFonts w:cs="Times New Roman"/>
          <w:i/>
          <w:sz w:val="20"/>
          <w:szCs w:val="20"/>
        </w:rPr>
        <w:t xml:space="preserve"> i</w:t>
      </w:r>
      <w:r w:rsidRPr="00927BAD">
        <w:rPr>
          <w:rFonts w:cs="Times New Roman"/>
          <w:i/>
          <w:sz w:val="20"/>
          <w:szCs w:val="20"/>
          <w:vertAlign w:val="superscript"/>
        </w:rPr>
        <w:t>th</w:t>
      </w:r>
      <w:r w:rsidRPr="00927BAD">
        <w:rPr>
          <w:rFonts w:cs="Times New Roman"/>
          <w:sz w:val="20"/>
          <w:szCs w:val="20"/>
        </w:rPr>
        <w:t xml:space="preserve"> event and </w:t>
      </w:r>
      <w:r w:rsidRPr="00927BAD">
        <w:rPr>
          <w:rFonts w:cs="Times New Roman"/>
          <w:i/>
          <w:sz w:val="20"/>
          <w:szCs w:val="20"/>
        </w:rPr>
        <w:t>lnŶ</w:t>
      </w:r>
      <w:r w:rsidRPr="00927BAD">
        <w:rPr>
          <w:rFonts w:cs="Times New Roman"/>
          <w:sz w:val="20"/>
          <w:szCs w:val="20"/>
        </w:rPr>
        <w:t xml:space="preserve"> is the mean value of </w:t>
      </w:r>
      <w:r w:rsidRPr="00927BAD">
        <w:rPr>
          <w:rFonts w:cs="Times New Roman"/>
          <w:i/>
          <w:sz w:val="20"/>
          <w:szCs w:val="20"/>
        </w:rPr>
        <w:t xml:space="preserve">lnY </w:t>
      </w:r>
      <w:r w:rsidRPr="00927BAD">
        <w:rPr>
          <w:rFonts w:cs="Times New Roman"/>
          <w:sz w:val="20"/>
          <w:szCs w:val="20"/>
        </w:rPr>
        <w:t>computed using a particular GMPE. The results of the comparison were presented by considering intra-event and inter-event residuals, which are all usually close to zero and represent the residuals related to each individual source and to combined sources respectively. The intra-event terms presented here were obtained using the whole database of events for all available hypocentral distances in a similar way as reported by Graves et al</w:t>
      </w:r>
      <w:r w:rsidRPr="00927BAD">
        <w:rPr>
          <w:rFonts w:cs="Times New Roman"/>
          <w:i/>
          <w:sz w:val="20"/>
          <w:szCs w:val="20"/>
        </w:rPr>
        <w:t>.</w:t>
      </w:r>
      <w:r w:rsidRPr="00927BAD">
        <w:rPr>
          <w:rFonts w:cs="Times New Roman"/>
          <w:sz w:val="20"/>
          <w:szCs w:val="20"/>
        </w:rPr>
        <w:t xml:space="preserve"> (2008). The two residuals are given by the following equations, 2 and 3.</w:t>
      </w:r>
    </w:p>
    <w:p w14:paraId="7939A556" w14:textId="4FCC2D4D" w:rsidR="004C5428" w:rsidRPr="00927BAD" w:rsidRDefault="00295EAB" w:rsidP="00DA1B47">
      <w:pPr>
        <w:spacing w:line="240" w:lineRule="auto"/>
        <w:jc w:val="center"/>
        <w:rPr>
          <w:rFonts w:cs="Times New Roman"/>
          <w:sz w:val="20"/>
          <w:szCs w:val="20"/>
        </w:rPr>
      </w:pPr>
      <m:oMath>
        <m:sSubSup>
          <m:sSubSupPr>
            <m:ctrlPr>
              <w:rPr>
                <w:rFonts w:ascii="Cambria Math" w:hAnsi="Cambria Math" w:cs="Times New Roman"/>
                <w:b/>
                <w:i/>
                <w:sz w:val="20"/>
                <w:szCs w:val="20"/>
              </w:rPr>
            </m:ctrlPr>
          </m:sSubSupPr>
          <m:e>
            <m:r>
              <m:rPr>
                <m:sty m:val="bi"/>
              </m:rPr>
              <w:rPr>
                <w:rFonts w:ascii="Cambria Math" w:hAnsi="Cambria Math" w:cs="Times New Roman"/>
                <w:sz w:val="20"/>
                <w:szCs w:val="20"/>
              </w:rPr>
              <m:t>r</m:t>
            </m:r>
          </m:e>
          <m:sub>
            <m:r>
              <m:rPr>
                <m:sty m:val="bi"/>
              </m:rPr>
              <w:rPr>
                <w:rFonts w:ascii="Cambria Math" w:hAnsi="Cambria Math" w:cs="Times New Roman"/>
                <w:sz w:val="20"/>
                <w:szCs w:val="20"/>
              </w:rPr>
              <m:t>ij</m:t>
            </m:r>
          </m:sub>
          <m:sup>
            <m:r>
              <m:rPr>
                <m:sty m:val="bi"/>
              </m:rPr>
              <w:rPr>
                <w:rFonts w:ascii="Cambria Math" w:hAnsi="Cambria Math" w:cs="Times New Roman"/>
                <w:sz w:val="20"/>
                <w:szCs w:val="20"/>
              </w:rPr>
              <m:t>intra</m:t>
            </m:r>
          </m:sup>
        </m:sSubSup>
        <m:r>
          <m:rPr>
            <m:sty m:val="bi"/>
          </m:rPr>
          <w:rPr>
            <w:rFonts w:ascii="Cambria Math" w:hAnsi="Cambria Math" w:cs="Times New Roman"/>
            <w:sz w:val="20"/>
            <w:szCs w:val="20"/>
          </w:rPr>
          <m:t>=</m:t>
        </m:r>
        <m:sSub>
          <m:sSubPr>
            <m:ctrlPr>
              <w:rPr>
                <w:rFonts w:ascii="Cambria Math" w:hAnsi="Cambria Math" w:cs="Times New Roman"/>
                <w:b/>
                <w:i/>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ij</m:t>
            </m:r>
          </m:sub>
        </m:sSub>
        <m:r>
          <m:rPr>
            <m:sty m:val="bi"/>
          </m:rPr>
          <w:rPr>
            <w:rFonts w:ascii="Cambria Math" w:hAnsi="Cambria Math" w:cs="Times New Roman"/>
            <w:sz w:val="20"/>
            <w:szCs w:val="20"/>
          </w:rPr>
          <m:t xml:space="preserve">- </m:t>
        </m:r>
        <m:sSub>
          <m:sSubPr>
            <m:ctrlPr>
              <w:rPr>
                <w:rFonts w:ascii="Cambria Math" w:hAnsi="Cambria Math" w:cs="Times New Roman"/>
                <w:b/>
                <w:i/>
                <w:sz w:val="20"/>
                <w:szCs w:val="20"/>
              </w:rPr>
            </m:ctrlPr>
          </m:sSubPr>
          <m:e>
            <m:r>
              <m:rPr>
                <m:sty m:val="bi"/>
              </m:rPr>
              <w:rPr>
                <w:rFonts w:ascii="Cambria Math" w:hAnsi="Cambria Math" w:cs="Times New Roman"/>
                <w:sz w:val="20"/>
                <w:szCs w:val="20"/>
              </w:rPr>
              <m:t>η</m:t>
            </m:r>
          </m:e>
          <m:sub>
            <m:r>
              <m:rPr>
                <m:sty m:val="bi"/>
              </m:rPr>
              <w:rPr>
                <w:rFonts w:ascii="Cambria Math" w:hAnsi="Cambria Math" w:cs="Times New Roman"/>
                <w:sz w:val="20"/>
                <w:szCs w:val="20"/>
              </w:rPr>
              <m:t>i</m:t>
            </m:r>
          </m:sub>
        </m:sSub>
      </m:oMath>
      <w:r w:rsidR="004C5428" w:rsidRPr="00927BAD">
        <w:rPr>
          <w:rFonts w:cs="Times New Roman"/>
          <w:sz w:val="20"/>
          <w:szCs w:val="20"/>
        </w:rPr>
        <w:tab/>
      </w:r>
      <w:r w:rsidR="004C5428" w:rsidRPr="00927BAD">
        <w:rPr>
          <w:rFonts w:cs="Times New Roman"/>
          <w:sz w:val="20"/>
          <w:szCs w:val="20"/>
        </w:rPr>
        <w:tab/>
      </w:r>
      <w:r w:rsidR="00D8588A">
        <w:rPr>
          <w:rFonts w:cs="Times New Roman"/>
          <w:sz w:val="20"/>
          <w:szCs w:val="20"/>
        </w:rPr>
        <w:tab/>
      </w:r>
      <w:r w:rsidR="004C5428" w:rsidRPr="00927BAD">
        <w:rPr>
          <w:rFonts w:cs="Times New Roman"/>
          <w:sz w:val="20"/>
          <w:szCs w:val="20"/>
        </w:rPr>
        <w:tab/>
      </w:r>
      <w:r w:rsidR="004C5428" w:rsidRPr="00927BAD">
        <w:rPr>
          <w:rFonts w:cs="Times New Roman"/>
          <w:sz w:val="20"/>
          <w:szCs w:val="20"/>
        </w:rPr>
        <w:tab/>
      </w:r>
      <w:r w:rsidR="004C5428" w:rsidRPr="00927BAD">
        <w:rPr>
          <w:rFonts w:cs="Times New Roman"/>
          <w:sz w:val="20"/>
          <w:szCs w:val="20"/>
        </w:rPr>
        <w:tab/>
      </w:r>
      <w:r w:rsidR="00106178">
        <w:rPr>
          <w:rFonts w:cs="Times New Roman"/>
          <w:sz w:val="20"/>
          <w:szCs w:val="20"/>
        </w:rPr>
        <w:t>[</w:t>
      </w:r>
      <w:r w:rsidR="004C5428" w:rsidRPr="00927BAD">
        <w:rPr>
          <w:rFonts w:cs="Times New Roman"/>
          <w:sz w:val="20"/>
          <w:szCs w:val="20"/>
        </w:rPr>
        <w:t>2</w:t>
      </w:r>
      <w:r w:rsidR="00106178">
        <w:rPr>
          <w:rFonts w:cs="Times New Roman"/>
          <w:sz w:val="20"/>
          <w:szCs w:val="20"/>
        </w:rPr>
        <w:t>]</w:t>
      </w:r>
    </w:p>
    <w:p w14:paraId="3388DA71" w14:textId="77777777" w:rsidR="004C5428" w:rsidRPr="00927BAD" w:rsidRDefault="004C5428" w:rsidP="00DA1B47">
      <w:pPr>
        <w:spacing w:line="240" w:lineRule="auto"/>
        <w:jc w:val="both"/>
        <w:rPr>
          <w:rFonts w:cs="Times New Roman"/>
          <w:sz w:val="20"/>
          <w:szCs w:val="20"/>
        </w:rPr>
      </w:pPr>
    </w:p>
    <w:p w14:paraId="2430E0D1" w14:textId="4D9A74A2" w:rsidR="004C5428" w:rsidRPr="00927BAD" w:rsidRDefault="00295EAB" w:rsidP="00DA1B47">
      <w:pPr>
        <w:spacing w:line="240" w:lineRule="auto"/>
        <w:jc w:val="center"/>
        <w:rPr>
          <w:rFonts w:cs="Times New Roman"/>
          <w:sz w:val="20"/>
          <w:szCs w:val="20"/>
        </w:rPr>
      </w:pPr>
      <m:oMath>
        <m:sSubSup>
          <m:sSubSupPr>
            <m:ctrlPr>
              <w:rPr>
                <w:rFonts w:ascii="Cambria Math" w:hAnsi="Cambria Math" w:cs="Times New Roman"/>
                <w:b/>
                <w:i/>
                <w:sz w:val="20"/>
                <w:szCs w:val="20"/>
              </w:rPr>
            </m:ctrlPr>
          </m:sSubSupPr>
          <m:e>
            <m:r>
              <m:rPr>
                <m:sty m:val="bi"/>
              </m:rPr>
              <w:rPr>
                <w:rFonts w:ascii="Cambria Math" w:hAnsi="Cambria Math" w:cs="Times New Roman"/>
                <w:sz w:val="20"/>
                <w:szCs w:val="20"/>
              </w:rPr>
              <m:t>r</m:t>
            </m:r>
          </m:e>
          <m:sub>
            <m:r>
              <m:rPr>
                <m:sty m:val="bi"/>
              </m:rPr>
              <w:rPr>
                <w:rFonts w:ascii="Cambria Math" w:hAnsi="Cambria Math" w:cs="Times New Roman"/>
                <w:sz w:val="20"/>
                <w:szCs w:val="20"/>
              </w:rPr>
              <m:t>i</m:t>
            </m:r>
          </m:sub>
          <m:sup>
            <m:r>
              <m:rPr>
                <m:sty m:val="bi"/>
              </m:rPr>
              <w:rPr>
                <w:rFonts w:ascii="Cambria Math" w:hAnsi="Cambria Math" w:cs="Times New Roman"/>
                <w:sz w:val="20"/>
                <w:szCs w:val="20"/>
              </w:rPr>
              <m:t>inter</m:t>
            </m:r>
          </m:sup>
        </m:sSubSup>
        <m:r>
          <m:rPr>
            <m:sty m:val="bi"/>
          </m:rPr>
          <w:rPr>
            <w:rFonts w:ascii="Cambria Math" w:hAnsi="Cambria Math" w:cs="Times New Roman"/>
            <w:sz w:val="20"/>
            <w:szCs w:val="20"/>
          </w:rPr>
          <m:t>=</m:t>
        </m:r>
        <m:sSub>
          <m:sSubPr>
            <m:ctrlPr>
              <w:rPr>
                <w:rFonts w:ascii="Cambria Math" w:hAnsi="Cambria Math" w:cs="Times New Roman"/>
                <w:b/>
                <w:i/>
                <w:sz w:val="20"/>
                <w:szCs w:val="20"/>
              </w:rPr>
            </m:ctrlPr>
          </m:sSubPr>
          <m:e>
            <m:r>
              <m:rPr>
                <m:sty m:val="bi"/>
              </m:rPr>
              <w:rPr>
                <w:rFonts w:ascii="Cambria Math" w:hAnsi="Cambria Math" w:cs="Times New Roman"/>
                <w:sz w:val="20"/>
                <w:szCs w:val="20"/>
              </w:rPr>
              <m:t>η</m:t>
            </m:r>
          </m:e>
          <m:sub>
            <m:r>
              <m:rPr>
                <m:sty m:val="bi"/>
              </m:rPr>
              <w:rPr>
                <w:rFonts w:ascii="Cambria Math" w:hAnsi="Cambria Math" w:cs="Times New Roman"/>
                <w:sz w:val="20"/>
                <w:szCs w:val="20"/>
              </w:rPr>
              <m:t>i</m:t>
            </m:r>
          </m:sub>
        </m:sSub>
        <m:r>
          <m:rPr>
            <m:sty m:val="bi"/>
          </m:rPr>
          <w:rPr>
            <w:rFonts w:ascii="Cambria Math" w:hAnsi="Cambria Math" w:cs="Times New Roman"/>
            <w:sz w:val="20"/>
            <w:szCs w:val="20"/>
          </w:rPr>
          <m:t xml:space="preserve">- </m:t>
        </m:r>
        <m:f>
          <m:fPr>
            <m:ctrlPr>
              <w:rPr>
                <w:rFonts w:ascii="Cambria Math" w:hAnsi="Cambria Math" w:cs="Times New Roman"/>
                <w:b/>
                <w:i/>
                <w:sz w:val="20"/>
                <w:szCs w:val="20"/>
              </w:rPr>
            </m:ctrlPr>
          </m:fPr>
          <m:num>
            <m:r>
              <m:rPr>
                <m:sty m:val="bi"/>
              </m:rPr>
              <w:rPr>
                <w:rFonts w:ascii="Cambria Math" w:hAnsi="Cambria Math" w:cs="Times New Roman"/>
                <w:sz w:val="20"/>
                <w:szCs w:val="20"/>
              </w:rPr>
              <m:t>1</m:t>
            </m:r>
          </m:num>
          <m:den>
            <m:sSub>
              <m:sSubPr>
                <m:ctrlPr>
                  <w:rPr>
                    <w:rFonts w:ascii="Cambria Math" w:hAnsi="Cambria Math" w:cs="Times New Roman"/>
                    <w:b/>
                    <w:i/>
                    <w:sz w:val="20"/>
                    <w:szCs w:val="20"/>
                  </w:rPr>
                </m:ctrlPr>
              </m:sSubPr>
              <m:e>
                <m:r>
                  <m:rPr>
                    <m:sty m:val="bi"/>
                  </m:rPr>
                  <w:rPr>
                    <w:rFonts w:ascii="Cambria Math" w:hAnsi="Cambria Math" w:cs="Times New Roman"/>
                    <w:sz w:val="20"/>
                    <w:szCs w:val="20"/>
                  </w:rPr>
                  <m:t>N</m:t>
                </m:r>
              </m:e>
              <m:sub>
                <m:r>
                  <m:rPr>
                    <m:sty m:val="bi"/>
                  </m:rPr>
                  <w:rPr>
                    <w:rFonts w:ascii="Cambria Math" w:hAnsi="Cambria Math" w:cs="Times New Roman"/>
                    <w:sz w:val="20"/>
                    <w:szCs w:val="20"/>
                  </w:rPr>
                  <m:t>e</m:t>
                </m:r>
              </m:sub>
            </m:sSub>
          </m:den>
        </m:f>
        <m:nary>
          <m:naryPr>
            <m:chr m:val="∑"/>
            <m:limLoc m:val="undOvr"/>
            <m:ctrlPr>
              <w:rPr>
                <w:rFonts w:ascii="Cambria Math" w:hAnsi="Cambria Math" w:cs="Times New Roman"/>
                <w:b/>
                <w:i/>
                <w:sz w:val="20"/>
                <w:szCs w:val="20"/>
              </w:rPr>
            </m:ctrlPr>
          </m:naryPr>
          <m:sub>
            <m:r>
              <m:rPr>
                <m:sty m:val="bi"/>
              </m:rPr>
              <w:rPr>
                <w:rFonts w:ascii="Cambria Math" w:hAnsi="Cambria Math" w:cs="Times New Roman"/>
                <w:sz w:val="20"/>
                <w:szCs w:val="20"/>
              </w:rPr>
              <m:t>i=1</m:t>
            </m:r>
          </m:sub>
          <m:sup>
            <m:sSub>
              <m:sSubPr>
                <m:ctrlPr>
                  <w:rPr>
                    <w:rFonts w:ascii="Cambria Math" w:hAnsi="Cambria Math" w:cs="Times New Roman"/>
                    <w:b/>
                    <w:i/>
                    <w:sz w:val="20"/>
                    <w:szCs w:val="20"/>
                  </w:rPr>
                </m:ctrlPr>
              </m:sSubPr>
              <m:e>
                <m:r>
                  <m:rPr>
                    <m:sty m:val="bi"/>
                  </m:rPr>
                  <w:rPr>
                    <w:rFonts w:ascii="Cambria Math" w:hAnsi="Cambria Math" w:cs="Times New Roman"/>
                    <w:sz w:val="20"/>
                    <w:szCs w:val="20"/>
                  </w:rPr>
                  <m:t>N</m:t>
                </m:r>
              </m:e>
              <m:sub>
                <m:r>
                  <m:rPr>
                    <m:sty m:val="bi"/>
                  </m:rPr>
                  <w:rPr>
                    <w:rFonts w:ascii="Cambria Math" w:hAnsi="Cambria Math" w:cs="Times New Roman"/>
                    <w:sz w:val="20"/>
                    <w:szCs w:val="20"/>
                  </w:rPr>
                  <m:t>i</m:t>
                </m:r>
              </m:sub>
            </m:sSub>
          </m:sup>
          <m:e>
            <m:sSub>
              <m:sSubPr>
                <m:ctrlPr>
                  <w:rPr>
                    <w:rFonts w:ascii="Cambria Math" w:hAnsi="Cambria Math" w:cs="Times New Roman"/>
                    <w:b/>
                    <w:i/>
                    <w:sz w:val="20"/>
                    <w:szCs w:val="20"/>
                  </w:rPr>
                </m:ctrlPr>
              </m:sSubPr>
              <m:e>
                <m:r>
                  <m:rPr>
                    <m:sty m:val="bi"/>
                  </m:rPr>
                  <w:rPr>
                    <w:rFonts w:ascii="Cambria Math" w:hAnsi="Cambria Math" w:cs="Times New Roman"/>
                    <w:sz w:val="20"/>
                    <w:szCs w:val="20"/>
                  </w:rPr>
                  <m:t>η</m:t>
                </m:r>
              </m:e>
              <m:sub>
                <m:r>
                  <m:rPr>
                    <m:sty m:val="bi"/>
                  </m:rPr>
                  <w:rPr>
                    <w:rFonts w:ascii="Cambria Math" w:hAnsi="Cambria Math" w:cs="Times New Roman"/>
                    <w:sz w:val="20"/>
                    <w:szCs w:val="20"/>
                  </w:rPr>
                  <m:t>i</m:t>
                </m:r>
              </m:sub>
            </m:sSub>
          </m:e>
        </m:nary>
      </m:oMath>
      <w:r w:rsidR="004C5428" w:rsidRPr="00927BAD">
        <w:rPr>
          <w:rFonts w:eastAsiaTheme="minorEastAsia" w:cs="Times New Roman"/>
          <w:sz w:val="20"/>
          <w:szCs w:val="20"/>
        </w:rPr>
        <w:tab/>
      </w:r>
      <w:r w:rsidR="00D8588A">
        <w:rPr>
          <w:rFonts w:eastAsiaTheme="minorEastAsia" w:cs="Times New Roman"/>
          <w:sz w:val="20"/>
          <w:szCs w:val="20"/>
        </w:rPr>
        <w:tab/>
      </w:r>
      <w:r w:rsidR="004C5428" w:rsidRPr="00927BAD">
        <w:rPr>
          <w:rFonts w:cs="Times New Roman"/>
          <w:sz w:val="20"/>
          <w:szCs w:val="20"/>
        </w:rPr>
        <w:tab/>
      </w:r>
      <w:r w:rsidR="004C5428" w:rsidRPr="00927BAD">
        <w:rPr>
          <w:rFonts w:cs="Times New Roman"/>
          <w:sz w:val="20"/>
          <w:szCs w:val="20"/>
        </w:rPr>
        <w:tab/>
      </w:r>
      <w:r w:rsidR="004C5428" w:rsidRPr="00927BAD">
        <w:rPr>
          <w:rFonts w:cs="Times New Roman"/>
          <w:sz w:val="20"/>
          <w:szCs w:val="20"/>
        </w:rPr>
        <w:tab/>
      </w:r>
      <w:r w:rsidR="00106178">
        <w:rPr>
          <w:rFonts w:cs="Times New Roman"/>
          <w:sz w:val="20"/>
          <w:szCs w:val="20"/>
        </w:rPr>
        <w:t>[</w:t>
      </w:r>
      <w:r w:rsidR="004C5428" w:rsidRPr="00927BAD">
        <w:rPr>
          <w:rFonts w:cs="Times New Roman"/>
          <w:sz w:val="20"/>
          <w:szCs w:val="20"/>
        </w:rPr>
        <w:t>3</w:t>
      </w:r>
      <w:r w:rsidR="00106178">
        <w:rPr>
          <w:rFonts w:cs="Times New Roman"/>
          <w:sz w:val="20"/>
          <w:szCs w:val="20"/>
        </w:rPr>
        <w:t>]</w:t>
      </w:r>
    </w:p>
    <w:p w14:paraId="022D7B82" w14:textId="77777777" w:rsidR="004C5428" w:rsidRPr="00927BAD" w:rsidRDefault="004C5428" w:rsidP="00DA1B47">
      <w:pPr>
        <w:spacing w:line="240" w:lineRule="auto"/>
        <w:jc w:val="both"/>
        <w:rPr>
          <w:rFonts w:cs="Times New Roman"/>
          <w:sz w:val="20"/>
          <w:szCs w:val="20"/>
        </w:rPr>
      </w:pPr>
    </w:p>
    <w:p w14:paraId="25E7EBF1" w14:textId="697CCC7A" w:rsidR="004C5428" w:rsidRPr="00927BAD" w:rsidRDefault="004C5428" w:rsidP="00DA1B47">
      <w:pPr>
        <w:spacing w:line="240" w:lineRule="auto"/>
        <w:jc w:val="both"/>
        <w:rPr>
          <w:rFonts w:cs="Times New Roman"/>
          <w:sz w:val="20"/>
          <w:szCs w:val="20"/>
        </w:rPr>
      </w:pPr>
      <w:r w:rsidRPr="00927BAD">
        <w:rPr>
          <w:rFonts w:cs="Times New Roman"/>
          <w:sz w:val="20"/>
          <w:szCs w:val="20"/>
        </w:rPr>
        <w:t xml:space="preserve">where </w:t>
      </w:r>
      <w:r w:rsidRPr="00927BAD">
        <w:rPr>
          <w:rFonts w:cs="Times New Roman"/>
          <w:i/>
          <w:sz w:val="20"/>
          <w:szCs w:val="20"/>
        </w:rPr>
        <w:t>N</w:t>
      </w:r>
      <w:r w:rsidRPr="00927BAD">
        <w:rPr>
          <w:rFonts w:cs="Times New Roman"/>
          <w:i/>
          <w:sz w:val="20"/>
          <w:szCs w:val="20"/>
          <w:vertAlign w:val="subscript"/>
        </w:rPr>
        <w:t>e</w:t>
      </w:r>
      <w:r w:rsidRPr="00927BAD">
        <w:rPr>
          <w:rFonts w:cs="Times New Roman"/>
          <w:sz w:val="20"/>
          <w:szCs w:val="20"/>
        </w:rPr>
        <w:t xml:space="preserve"> is the total number of events</w:t>
      </w:r>
      <w:r w:rsidR="008B1E0B" w:rsidRPr="00927BAD">
        <w:rPr>
          <w:rFonts w:cs="Times New Roman"/>
          <w:sz w:val="20"/>
          <w:szCs w:val="20"/>
        </w:rPr>
        <w:t>.</w:t>
      </w:r>
      <w:r w:rsidRPr="00927BAD">
        <w:rPr>
          <w:rFonts w:cs="Times New Roman"/>
          <w:sz w:val="20"/>
          <w:szCs w:val="20"/>
        </w:rPr>
        <w:t xml:space="preserve"> </w:t>
      </w:r>
      <w:r w:rsidR="008B1E0B" w:rsidRPr="00927BAD">
        <w:rPr>
          <w:rFonts w:cs="Times New Roman"/>
          <w:sz w:val="20"/>
          <w:szCs w:val="20"/>
        </w:rPr>
        <w:t>T</w:t>
      </w:r>
      <w:r w:rsidRPr="00927BAD">
        <w:rPr>
          <w:rFonts w:cs="Times New Roman"/>
          <w:sz w:val="20"/>
          <w:szCs w:val="20"/>
        </w:rPr>
        <w:t xml:space="preserve">he mean of the residuals for the </w:t>
      </w:r>
      <w:r w:rsidRPr="00927BAD">
        <w:rPr>
          <w:rFonts w:cs="Times New Roman"/>
          <w:i/>
          <w:sz w:val="20"/>
          <w:szCs w:val="20"/>
        </w:rPr>
        <w:t>i</w:t>
      </w:r>
      <w:r w:rsidRPr="00927BAD">
        <w:rPr>
          <w:rFonts w:cs="Times New Roman"/>
          <w:i/>
          <w:sz w:val="20"/>
          <w:szCs w:val="20"/>
          <w:vertAlign w:val="superscript"/>
        </w:rPr>
        <w:t>th</w:t>
      </w:r>
      <w:r w:rsidRPr="00927BAD">
        <w:rPr>
          <w:rFonts w:cs="Times New Roman"/>
          <w:sz w:val="20"/>
          <w:szCs w:val="20"/>
        </w:rPr>
        <w:t xml:space="preserve"> event with </w:t>
      </w:r>
      <w:r w:rsidRPr="00927BAD">
        <w:rPr>
          <w:rFonts w:cs="Times New Roman"/>
          <w:i/>
          <w:sz w:val="20"/>
          <w:szCs w:val="20"/>
        </w:rPr>
        <w:t>N</w:t>
      </w:r>
      <w:r w:rsidRPr="00927BAD">
        <w:rPr>
          <w:rFonts w:cs="Times New Roman"/>
          <w:i/>
          <w:sz w:val="20"/>
          <w:szCs w:val="20"/>
          <w:vertAlign w:val="subscript"/>
        </w:rPr>
        <w:t>i</w:t>
      </w:r>
      <w:r w:rsidRPr="00927BAD">
        <w:rPr>
          <w:rFonts w:cs="Times New Roman"/>
          <w:i/>
          <w:sz w:val="20"/>
          <w:szCs w:val="20"/>
        </w:rPr>
        <w:t xml:space="preserve"> </w:t>
      </w:r>
      <w:r w:rsidRPr="00927BAD">
        <w:rPr>
          <w:rFonts w:cs="Times New Roman"/>
          <w:sz w:val="20"/>
          <w:szCs w:val="20"/>
        </w:rPr>
        <w:t>records is defined as in equation 4:</w:t>
      </w:r>
    </w:p>
    <w:p w14:paraId="4D533B7E" w14:textId="1473C172" w:rsidR="004C5428" w:rsidRPr="00927BAD" w:rsidRDefault="004C5428" w:rsidP="00DA1B47">
      <w:pPr>
        <w:spacing w:line="240" w:lineRule="auto"/>
        <w:jc w:val="both"/>
        <w:rPr>
          <w:rFonts w:cs="Times New Roman"/>
          <w:sz w:val="20"/>
          <w:szCs w:val="20"/>
        </w:rPr>
      </w:pPr>
      <w:r w:rsidRPr="00927BAD">
        <w:rPr>
          <w:rFonts w:cs="Times New Roman"/>
          <w:sz w:val="20"/>
          <w:szCs w:val="20"/>
        </w:rPr>
        <w:tab/>
      </w:r>
      <w:r w:rsidRPr="00927BAD">
        <w:rPr>
          <w:rFonts w:cs="Times New Roman"/>
          <w:sz w:val="20"/>
          <w:szCs w:val="20"/>
        </w:rPr>
        <w:tab/>
      </w:r>
      <w:r w:rsidRPr="00927BAD">
        <w:rPr>
          <w:rFonts w:cs="Times New Roman"/>
          <w:sz w:val="20"/>
          <w:szCs w:val="20"/>
        </w:rPr>
        <w:tab/>
      </w:r>
      <w:r w:rsidRPr="00927BAD">
        <w:rPr>
          <w:rFonts w:cs="Times New Roman"/>
          <w:b/>
          <w:position w:val="-30"/>
          <w:sz w:val="20"/>
          <w:szCs w:val="20"/>
        </w:rPr>
        <w:object w:dxaOrig="1359" w:dyaOrig="720" w14:anchorId="078BF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36.6pt" o:ole="">
            <v:imagedata r:id="rId10" o:title=""/>
          </v:shape>
          <o:OLEObject Type="Embed" ProgID="Equation.3" ShapeID="_x0000_i1025" DrawAspect="Content" ObjectID="_1794998414" r:id="rId11"/>
        </w:object>
      </w:r>
      <w:r w:rsidRPr="00927BAD">
        <w:rPr>
          <w:rFonts w:cs="Times New Roman"/>
          <w:b/>
          <w:sz w:val="20"/>
          <w:szCs w:val="20"/>
        </w:rPr>
        <w:tab/>
      </w:r>
      <w:r w:rsidRPr="00927BAD">
        <w:rPr>
          <w:rFonts w:cs="Times New Roman"/>
          <w:sz w:val="20"/>
          <w:szCs w:val="20"/>
        </w:rPr>
        <w:tab/>
      </w:r>
      <w:r w:rsidR="00D8588A">
        <w:rPr>
          <w:rFonts w:cs="Times New Roman"/>
          <w:sz w:val="20"/>
          <w:szCs w:val="20"/>
        </w:rPr>
        <w:tab/>
      </w:r>
      <w:r w:rsidR="00D8588A">
        <w:rPr>
          <w:rFonts w:cs="Times New Roman"/>
          <w:sz w:val="20"/>
          <w:szCs w:val="20"/>
        </w:rPr>
        <w:tab/>
      </w:r>
      <w:r w:rsidRPr="00927BAD">
        <w:rPr>
          <w:rFonts w:cs="Times New Roman"/>
          <w:sz w:val="20"/>
          <w:szCs w:val="20"/>
        </w:rPr>
        <w:tab/>
      </w:r>
      <w:r w:rsidRPr="00927BAD">
        <w:rPr>
          <w:rFonts w:cs="Times New Roman"/>
          <w:sz w:val="20"/>
          <w:szCs w:val="20"/>
        </w:rPr>
        <w:tab/>
      </w:r>
      <w:r w:rsidR="00106178">
        <w:rPr>
          <w:rFonts w:cs="Times New Roman"/>
          <w:sz w:val="20"/>
          <w:szCs w:val="20"/>
        </w:rPr>
        <w:t>[</w:t>
      </w:r>
      <w:r w:rsidRPr="00927BAD">
        <w:rPr>
          <w:rFonts w:cs="Times New Roman"/>
          <w:sz w:val="20"/>
          <w:szCs w:val="20"/>
        </w:rPr>
        <w:t>4</w:t>
      </w:r>
      <w:r w:rsidR="00106178">
        <w:rPr>
          <w:rFonts w:cs="Times New Roman"/>
          <w:sz w:val="20"/>
          <w:szCs w:val="20"/>
        </w:rPr>
        <w:t>]</w:t>
      </w:r>
    </w:p>
    <w:p w14:paraId="38E77A89" w14:textId="77777777" w:rsidR="002A4EB5" w:rsidRPr="002A4EB5" w:rsidRDefault="002A4EB5" w:rsidP="002A4EB5">
      <w:pPr>
        <w:pStyle w:val="Caption"/>
        <w:jc w:val="both"/>
        <w:rPr>
          <w:rFonts w:cs="Times New Roman"/>
          <w:b w:val="0"/>
          <w:color w:val="000000" w:themeColor="text1"/>
          <w:sz w:val="20"/>
          <w:szCs w:val="20"/>
        </w:rPr>
      </w:pPr>
      <w:bookmarkStart w:id="18" w:name="_Ref26611821"/>
      <w:r w:rsidRPr="002A4EB5">
        <w:rPr>
          <w:rFonts w:cs="Times New Roman"/>
          <w:b w:val="0"/>
          <w:color w:val="000000" w:themeColor="text1"/>
          <w:sz w:val="20"/>
          <w:szCs w:val="20"/>
        </w:rPr>
        <w:t xml:space="preserve">For each GMPE, the residuals were calculated for 5% damped pseudo spectral acceleration for periods 0.0s (PGA), 0.1s and 2.0s. In the following section, the results are presented by considering the figures related to the residuals (equation 2 and 3). </w:t>
      </w:r>
      <w:r w:rsidRPr="002A4EB5">
        <w:rPr>
          <w:rFonts w:cs="Times New Roman"/>
          <w:b w:val="0"/>
          <w:color w:val="000000" w:themeColor="text1"/>
          <w:sz w:val="20"/>
          <w:szCs w:val="20"/>
        </w:rPr>
        <w:fldChar w:fldCharType="begin"/>
      </w:r>
      <w:r w:rsidRPr="002A4EB5">
        <w:rPr>
          <w:rFonts w:cs="Times New Roman"/>
          <w:b w:val="0"/>
          <w:color w:val="000000" w:themeColor="text1"/>
          <w:sz w:val="20"/>
          <w:szCs w:val="20"/>
        </w:rPr>
        <w:instrText xml:space="preserve"> REF _Ref68786692 \h  \* MERGEFORMAT </w:instrText>
      </w:r>
      <w:r w:rsidRPr="002A4EB5">
        <w:rPr>
          <w:rFonts w:cs="Times New Roman"/>
          <w:b w:val="0"/>
          <w:color w:val="000000" w:themeColor="text1"/>
          <w:sz w:val="20"/>
          <w:szCs w:val="20"/>
        </w:rPr>
      </w:r>
      <w:r w:rsidRPr="002A4EB5">
        <w:rPr>
          <w:rFonts w:cs="Times New Roman"/>
          <w:b w:val="0"/>
          <w:color w:val="000000" w:themeColor="text1"/>
          <w:sz w:val="20"/>
          <w:szCs w:val="20"/>
        </w:rPr>
        <w:fldChar w:fldCharType="separate"/>
      </w:r>
      <w:r w:rsidRPr="002A4EB5">
        <w:rPr>
          <w:rFonts w:cs="Times New Roman"/>
          <w:b w:val="0"/>
          <w:color w:val="000000" w:themeColor="text1"/>
          <w:sz w:val="20"/>
          <w:szCs w:val="20"/>
        </w:rPr>
        <w:t>Figure 3</w:t>
      </w:r>
      <w:r w:rsidRPr="002A4EB5">
        <w:rPr>
          <w:rFonts w:cs="Times New Roman"/>
          <w:b w:val="0"/>
          <w:color w:val="000000" w:themeColor="text1"/>
          <w:sz w:val="20"/>
          <w:szCs w:val="20"/>
        </w:rPr>
        <w:fldChar w:fldCharType="end"/>
      </w:r>
      <w:r w:rsidRPr="002A4EB5">
        <w:rPr>
          <w:rFonts w:cs="Times New Roman"/>
          <w:b w:val="0"/>
          <w:color w:val="000000" w:themeColor="text1"/>
          <w:sz w:val="20"/>
          <w:szCs w:val="20"/>
        </w:rPr>
        <w:t xml:space="preserve">, </w:t>
      </w:r>
      <w:r w:rsidRPr="002A4EB5">
        <w:rPr>
          <w:rFonts w:cs="Times New Roman"/>
          <w:b w:val="0"/>
          <w:color w:val="000000" w:themeColor="text1"/>
          <w:sz w:val="20"/>
          <w:szCs w:val="20"/>
        </w:rPr>
        <w:fldChar w:fldCharType="begin"/>
      </w:r>
      <w:r w:rsidRPr="002A4EB5">
        <w:rPr>
          <w:rFonts w:cs="Times New Roman"/>
          <w:b w:val="0"/>
          <w:color w:val="000000" w:themeColor="text1"/>
          <w:sz w:val="20"/>
          <w:szCs w:val="20"/>
        </w:rPr>
        <w:instrText xml:space="preserve"> REF _Ref68786704 \h  \* MERGEFORMAT </w:instrText>
      </w:r>
      <w:r w:rsidRPr="002A4EB5">
        <w:rPr>
          <w:rFonts w:cs="Times New Roman"/>
          <w:b w:val="0"/>
          <w:color w:val="000000" w:themeColor="text1"/>
          <w:sz w:val="20"/>
          <w:szCs w:val="20"/>
        </w:rPr>
      </w:r>
      <w:r w:rsidRPr="002A4EB5">
        <w:rPr>
          <w:rFonts w:cs="Times New Roman"/>
          <w:b w:val="0"/>
          <w:color w:val="000000" w:themeColor="text1"/>
          <w:sz w:val="20"/>
          <w:szCs w:val="20"/>
        </w:rPr>
        <w:fldChar w:fldCharType="separate"/>
      </w:r>
      <w:r w:rsidRPr="002A4EB5">
        <w:rPr>
          <w:rFonts w:cs="Times New Roman"/>
          <w:b w:val="0"/>
          <w:color w:val="000000" w:themeColor="text1"/>
          <w:sz w:val="20"/>
          <w:szCs w:val="20"/>
        </w:rPr>
        <w:t>Figure 4</w:t>
      </w:r>
      <w:r w:rsidRPr="002A4EB5">
        <w:rPr>
          <w:rFonts w:cs="Times New Roman"/>
          <w:b w:val="0"/>
          <w:color w:val="000000" w:themeColor="text1"/>
          <w:sz w:val="20"/>
          <w:szCs w:val="20"/>
        </w:rPr>
        <w:fldChar w:fldCharType="end"/>
      </w:r>
      <w:r w:rsidRPr="002A4EB5">
        <w:rPr>
          <w:rFonts w:cs="Times New Roman"/>
          <w:b w:val="0"/>
          <w:color w:val="000000" w:themeColor="text1"/>
          <w:sz w:val="20"/>
          <w:szCs w:val="20"/>
        </w:rPr>
        <w:t xml:space="preserve"> and </w:t>
      </w:r>
      <w:r w:rsidRPr="002A4EB5">
        <w:rPr>
          <w:rFonts w:cs="Times New Roman"/>
          <w:b w:val="0"/>
          <w:color w:val="000000" w:themeColor="text1"/>
          <w:sz w:val="20"/>
          <w:szCs w:val="20"/>
        </w:rPr>
        <w:fldChar w:fldCharType="begin"/>
      </w:r>
      <w:r w:rsidRPr="002A4EB5">
        <w:rPr>
          <w:rFonts w:cs="Times New Roman"/>
          <w:b w:val="0"/>
          <w:color w:val="000000" w:themeColor="text1"/>
          <w:sz w:val="20"/>
          <w:szCs w:val="20"/>
        </w:rPr>
        <w:instrText xml:space="preserve"> REF _Ref68786719 \h  \* MERGEFORMAT </w:instrText>
      </w:r>
      <w:r w:rsidRPr="002A4EB5">
        <w:rPr>
          <w:rFonts w:cs="Times New Roman"/>
          <w:b w:val="0"/>
          <w:color w:val="000000" w:themeColor="text1"/>
          <w:sz w:val="20"/>
          <w:szCs w:val="20"/>
        </w:rPr>
      </w:r>
      <w:r w:rsidRPr="002A4EB5">
        <w:rPr>
          <w:rFonts w:cs="Times New Roman"/>
          <w:b w:val="0"/>
          <w:color w:val="000000" w:themeColor="text1"/>
          <w:sz w:val="20"/>
          <w:szCs w:val="20"/>
        </w:rPr>
        <w:fldChar w:fldCharType="separate"/>
      </w:r>
      <w:r w:rsidRPr="002A4EB5">
        <w:rPr>
          <w:rFonts w:cs="Times New Roman"/>
          <w:b w:val="0"/>
          <w:color w:val="000000" w:themeColor="text1"/>
          <w:sz w:val="20"/>
          <w:szCs w:val="20"/>
        </w:rPr>
        <w:t>Figure 5</w:t>
      </w:r>
      <w:r w:rsidRPr="002A4EB5">
        <w:rPr>
          <w:rFonts w:cs="Times New Roman"/>
          <w:b w:val="0"/>
          <w:color w:val="000000" w:themeColor="text1"/>
          <w:sz w:val="20"/>
          <w:szCs w:val="20"/>
        </w:rPr>
        <w:fldChar w:fldCharType="end"/>
      </w:r>
      <w:r w:rsidRPr="002A4EB5">
        <w:rPr>
          <w:rFonts w:cs="Times New Roman"/>
          <w:b w:val="0"/>
          <w:color w:val="000000" w:themeColor="text1"/>
          <w:sz w:val="20"/>
          <w:szCs w:val="20"/>
        </w:rPr>
        <w:t xml:space="preserve"> shows inter-event residuals for the pre-selected GMPEs (</w:t>
      </w:r>
      <w:r w:rsidRPr="002A4EB5">
        <w:rPr>
          <w:rFonts w:cs="Times New Roman"/>
          <w:b w:val="0"/>
          <w:color w:val="000000" w:themeColor="text1"/>
          <w:sz w:val="20"/>
          <w:szCs w:val="20"/>
        </w:rPr>
        <w:fldChar w:fldCharType="begin"/>
      </w:r>
      <w:r w:rsidRPr="002A4EB5">
        <w:rPr>
          <w:rFonts w:cs="Times New Roman"/>
          <w:b w:val="0"/>
          <w:color w:val="000000" w:themeColor="text1"/>
          <w:sz w:val="20"/>
          <w:szCs w:val="20"/>
        </w:rPr>
        <w:instrText xml:space="preserve"> REF _Ref50033844 \h  \* MERGEFORMAT </w:instrText>
      </w:r>
      <w:r w:rsidRPr="002A4EB5">
        <w:rPr>
          <w:rFonts w:cs="Times New Roman"/>
          <w:b w:val="0"/>
          <w:color w:val="000000" w:themeColor="text1"/>
          <w:sz w:val="20"/>
          <w:szCs w:val="20"/>
        </w:rPr>
      </w:r>
      <w:r w:rsidRPr="002A4EB5">
        <w:rPr>
          <w:rFonts w:cs="Times New Roman"/>
          <w:b w:val="0"/>
          <w:color w:val="000000" w:themeColor="text1"/>
          <w:sz w:val="20"/>
          <w:szCs w:val="20"/>
        </w:rPr>
        <w:fldChar w:fldCharType="separate"/>
      </w:r>
      <w:r w:rsidRPr="002A4EB5">
        <w:rPr>
          <w:rFonts w:cs="Times New Roman"/>
          <w:b w:val="0"/>
          <w:color w:val="000000" w:themeColor="text1"/>
          <w:sz w:val="20"/>
          <w:szCs w:val="20"/>
        </w:rPr>
        <w:t>Table 1</w:t>
      </w:r>
      <w:r w:rsidRPr="002A4EB5">
        <w:rPr>
          <w:rFonts w:cs="Times New Roman"/>
          <w:b w:val="0"/>
          <w:color w:val="000000" w:themeColor="text1"/>
          <w:sz w:val="20"/>
          <w:szCs w:val="20"/>
        </w:rPr>
        <w:fldChar w:fldCharType="end"/>
      </w:r>
      <w:r w:rsidRPr="002A4EB5">
        <w:rPr>
          <w:rFonts w:cs="Times New Roman"/>
          <w:b w:val="0"/>
          <w:color w:val="000000" w:themeColor="text1"/>
          <w:sz w:val="20"/>
          <w:szCs w:val="20"/>
        </w:rPr>
        <w:t xml:space="preserve">) and tested with observed data in this investigation for the three spectral periods (PGA, PSA = 0.15s and PSA = 2.0s). </w:t>
      </w:r>
    </w:p>
    <w:p w14:paraId="2354BC4D" w14:textId="24810C2A" w:rsidR="002A4EB5" w:rsidRPr="002A4EB5" w:rsidRDefault="002A4EB5" w:rsidP="002A4EB5">
      <w:pPr>
        <w:pStyle w:val="Caption"/>
        <w:jc w:val="both"/>
        <w:rPr>
          <w:rFonts w:cs="Times New Roman"/>
          <w:b w:val="0"/>
          <w:color w:val="000000" w:themeColor="text1"/>
          <w:sz w:val="20"/>
          <w:szCs w:val="20"/>
        </w:rPr>
      </w:pPr>
      <w:r w:rsidRPr="002A4EB5">
        <w:rPr>
          <w:rFonts w:cs="Times New Roman"/>
          <w:b w:val="0"/>
          <w:color w:val="000000" w:themeColor="text1"/>
          <w:sz w:val="20"/>
          <w:szCs w:val="20"/>
        </w:rPr>
        <w:t xml:space="preserve">The inter-event terms show similar variation with distance for most of the equations. For </w:t>
      </w:r>
      <w:r w:rsidR="00D8588A" w:rsidRPr="002A4EB5">
        <w:rPr>
          <w:rFonts w:cs="Times New Roman"/>
          <w:b w:val="0"/>
          <w:color w:val="000000" w:themeColor="text1"/>
          <w:sz w:val="20"/>
          <w:szCs w:val="20"/>
        </w:rPr>
        <w:t>most GMPEs</w:t>
      </w:r>
      <w:r w:rsidR="003722D2">
        <w:rPr>
          <w:rFonts w:cs="Times New Roman"/>
          <w:b w:val="0"/>
          <w:color w:val="000000" w:themeColor="text1"/>
          <w:sz w:val="20"/>
          <w:szCs w:val="20"/>
        </w:rPr>
        <w:t>,</w:t>
      </w:r>
      <w:r w:rsidRPr="002A4EB5">
        <w:rPr>
          <w:rFonts w:cs="Times New Roman"/>
          <w:b w:val="0"/>
          <w:color w:val="000000" w:themeColor="text1"/>
          <w:sz w:val="20"/>
          <w:szCs w:val="20"/>
        </w:rPr>
        <w:t xml:space="preserve"> the residuals are negative</w:t>
      </w:r>
      <w:r w:rsidR="003722D2">
        <w:rPr>
          <w:rFonts w:cs="Times New Roman"/>
          <w:b w:val="0"/>
          <w:color w:val="000000" w:themeColor="text1"/>
          <w:sz w:val="20"/>
          <w:szCs w:val="20"/>
        </w:rPr>
        <w:t>,</w:t>
      </w:r>
      <w:r w:rsidRPr="002A4EB5">
        <w:rPr>
          <w:rFonts w:cs="Times New Roman"/>
          <w:b w:val="0"/>
          <w:color w:val="000000" w:themeColor="text1"/>
          <w:sz w:val="20"/>
          <w:szCs w:val="20"/>
        </w:rPr>
        <w:t xml:space="preserve"> with the lowest at about -0.01 and smaller at long periods, where residuals are less than -0.005 (and 0.005 where positive) for periods greater than 1.0 seconds. The inter-event residual distribution implies that most of </w:t>
      </w:r>
      <w:r w:rsidR="003722D2">
        <w:rPr>
          <w:rFonts w:cs="Times New Roman"/>
          <w:b w:val="0"/>
          <w:color w:val="000000" w:themeColor="text1"/>
          <w:sz w:val="20"/>
          <w:szCs w:val="20"/>
        </w:rPr>
        <w:t xml:space="preserve">the </w:t>
      </w:r>
      <w:r w:rsidRPr="002A4EB5">
        <w:rPr>
          <w:rFonts w:cs="Times New Roman"/>
          <w:b w:val="0"/>
          <w:color w:val="000000" w:themeColor="text1"/>
          <w:sz w:val="20"/>
          <w:szCs w:val="20"/>
        </w:rPr>
        <w:t>models (in particular, Rietbrock et al. (2013); Campbell (2003)</w:t>
      </w:r>
      <w:r w:rsidR="003722D2">
        <w:rPr>
          <w:rFonts w:cs="Times New Roman"/>
          <w:b w:val="0"/>
          <w:color w:val="000000" w:themeColor="text1"/>
          <w:sz w:val="20"/>
          <w:szCs w:val="20"/>
        </w:rPr>
        <w:t>,</w:t>
      </w:r>
      <w:r w:rsidRPr="002A4EB5">
        <w:rPr>
          <w:rFonts w:cs="Times New Roman"/>
          <w:b w:val="0"/>
          <w:color w:val="000000" w:themeColor="text1"/>
          <w:sz w:val="20"/>
          <w:szCs w:val="20"/>
        </w:rPr>
        <w:t xml:space="preserve"> Atkinson (2015)</w:t>
      </w:r>
      <w:r w:rsidR="003722D2">
        <w:rPr>
          <w:rFonts w:cs="Times New Roman"/>
          <w:b w:val="0"/>
          <w:color w:val="000000" w:themeColor="text1"/>
          <w:sz w:val="20"/>
          <w:szCs w:val="20"/>
        </w:rPr>
        <w:t>,</w:t>
      </w:r>
      <w:r w:rsidRPr="002A4EB5">
        <w:rPr>
          <w:rFonts w:cs="Times New Roman"/>
          <w:b w:val="0"/>
          <w:color w:val="000000" w:themeColor="text1"/>
          <w:sz w:val="20"/>
          <w:szCs w:val="20"/>
        </w:rPr>
        <w:t xml:space="preserve"> and Toro (2002)) overestimate the observed ground motion. The residuals for PGA are large for Silva et al. (2003), Pezeshk et al. (2011), Frankel et al. (1994)</w:t>
      </w:r>
      <w:r w:rsidR="003722D2">
        <w:rPr>
          <w:rFonts w:cs="Times New Roman"/>
          <w:b w:val="0"/>
          <w:color w:val="000000" w:themeColor="text1"/>
          <w:sz w:val="20"/>
          <w:szCs w:val="20"/>
        </w:rPr>
        <w:t>,</w:t>
      </w:r>
      <w:r w:rsidRPr="002A4EB5">
        <w:rPr>
          <w:rFonts w:cs="Times New Roman"/>
          <w:b w:val="0"/>
          <w:color w:val="000000" w:themeColor="text1"/>
          <w:sz w:val="20"/>
          <w:szCs w:val="20"/>
        </w:rPr>
        <w:t xml:space="preserve"> and Atkinson and Boore (2006) GMPEs (</w:t>
      </w:r>
      <w:r w:rsidRPr="002A4EB5">
        <w:rPr>
          <w:rFonts w:cs="Times New Roman"/>
          <w:b w:val="0"/>
          <w:color w:val="000000" w:themeColor="text1"/>
          <w:sz w:val="20"/>
          <w:szCs w:val="20"/>
        </w:rPr>
        <w:fldChar w:fldCharType="begin"/>
      </w:r>
      <w:r w:rsidRPr="002A4EB5">
        <w:rPr>
          <w:rFonts w:cs="Times New Roman"/>
          <w:b w:val="0"/>
          <w:color w:val="000000" w:themeColor="text1"/>
          <w:sz w:val="20"/>
          <w:szCs w:val="20"/>
        </w:rPr>
        <w:instrText xml:space="preserve"> REF _Ref68786692 \h  \* MERGEFORMAT </w:instrText>
      </w:r>
      <w:r w:rsidRPr="002A4EB5">
        <w:rPr>
          <w:rFonts w:cs="Times New Roman"/>
          <w:b w:val="0"/>
          <w:color w:val="000000" w:themeColor="text1"/>
          <w:sz w:val="20"/>
          <w:szCs w:val="20"/>
        </w:rPr>
      </w:r>
      <w:r w:rsidRPr="002A4EB5">
        <w:rPr>
          <w:rFonts w:cs="Times New Roman"/>
          <w:b w:val="0"/>
          <w:color w:val="000000" w:themeColor="text1"/>
          <w:sz w:val="20"/>
          <w:szCs w:val="20"/>
        </w:rPr>
        <w:fldChar w:fldCharType="separate"/>
      </w:r>
      <w:r w:rsidRPr="002A4EB5">
        <w:rPr>
          <w:rFonts w:cs="Times New Roman"/>
          <w:b w:val="0"/>
          <w:color w:val="000000" w:themeColor="text1"/>
          <w:sz w:val="20"/>
          <w:szCs w:val="20"/>
        </w:rPr>
        <w:t>Figure 3</w:t>
      </w:r>
      <w:r w:rsidRPr="002A4EB5">
        <w:rPr>
          <w:rFonts w:cs="Times New Roman"/>
          <w:b w:val="0"/>
          <w:color w:val="000000" w:themeColor="text1"/>
          <w:sz w:val="20"/>
          <w:szCs w:val="20"/>
        </w:rPr>
        <w:fldChar w:fldCharType="end"/>
      </w:r>
      <w:r w:rsidRPr="002A4EB5">
        <w:rPr>
          <w:rFonts w:cs="Times New Roman"/>
          <w:b w:val="0"/>
          <w:color w:val="000000" w:themeColor="text1"/>
          <w:sz w:val="20"/>
          <w:szCs w:val="20"/>
        </w:rPr>
        <w:t>). For spectral period T = 0.15s, Atkinson  (2015), Akkar et al. (2014), Campbell (2003), Rietbrock et al. (2013 and Pezeshk et al. (2011) GMPEs have negative residual values</w:t>
      </w:r>
      <w:r w:rsidR="003722D2">
        <w:rPr>
          <w:rFonts w:cs="Times New Roman"/>
          <w:b w:val="0"/>
          <w:color w:val="000000" w:themeColor="text1"/>
          <w:sz w:val="20"/>
          <w:szCs w:val="20"/>
        </w:rPr>
        <w:t>,</w:t>
      </w:r>
      <w:r w:rsidRPr="002A4EB5">
        <w:rPr>
          <w:rFonts w:cs="Times New Roman"/>
          <w:b w:val="0"/>
          <w:color w:val="000000" w:themeColor="text1"/>
          <w:sz w:val="20"/>
          <w:szCs w:val="20"/>
        </w:rPr>
        <w:t xml:space="preserve"> while Boore and Atkinson (2008) and Atkinson and Boore (2006) have positive values (</w:t>
      </w:r>
      <w:r w:rsidRPr="002A4EB5">
        <w:rPr>
          <w:rFonts w:cs="Times New Roman"/>
          <w:b w:val="0"/>
          <w:color w:val="000000" w:themeColor="text1"/>
          <w:sz w:val="20"/>
          <w:szCs w:val="20"/>
        </w:rPr>
        <w:fldChar w:fldCharType="begin"/>
      </w:r>
      <w:r w:rsidRPr="002A4EB5">
        <w:rPr>
          <w:rFonts w:cs="Times New Roman"/>
          <w:b w:val="0"/>
          <w:color w:val="000000" w:themeColor="text1"/>
          <w:sz w:val="20"/>
          <w:szCs w:val="20"/>
        </w:rPr>
        <w:instrText xml:space="preserve"> REF _Ref68786704 \h  \* MERGEFORMAT </w:instrText>
      </w:r>
      <w:r w:rsidRPr="002A4EB5">
        <w:rPr>
          <w:rFonts w:cs="Times New Roman"/>
          <w:b w:val="0"/>
          <w:color w:val="000000" w:themeColor="text1"/>
          <w:sz w:val="20"/>
          <w:szCs w:val="20"/>
        </w:rPr>
      </w:r>
      <w:r w:rsidRPr="002A4EB5">
        <w:rPr>
          <w:rFonts w:cs="Times New Roman"/>
          <w:b w:val="0"/>
          <w:color w:val="000000" w:themeColor="text1"/>
          <w:sz w:val="20"/>
          <w:szCs w:val="20"/>
        </w:rPr>
        <w:fldChar w:fldCharType="separate"/>
      </w:r>
      <w:r w:rsidRPr="002A4EB5">
        <w:rPr>
          <w:rFonts w:cs="Times New Roman"/>
          <w:b w:val="0"/>
          <w:color w:val="000000" w:themeColor="text1"/>
          <w:sz w:val="20"/>
          <w:szCs w:val="20"/>
        </w:rPr>
        <w:t>Figure 4</w:t>
      </w:r>
      <w:r w:rsidRPr="002A4EB5">
        <w:rPr>
          <w:rFonts w:cs="Times New Roman"/>
          <w:b w:val="0"/>
          <w:color w:val="000000" w:themeColor="text1"/>
          <w:sz w:val="20"/>
          <w:szCs w:val="20"/>
        </w:rPr>
        <w:fldChar w:fldCharType="end"/>
      </w:r>
      <w:r w:rsidRPr="002A4EB5">
        <w:rPr>
          <w:rFonts w:cs="Times New Roman"/>
          <w:b w:val="0"/>
          <w:color w:val="000000" w:themeColor="text1"/>
          <w:sz w:val="20"/>
          <w:szCs w:val="20"/>
        </w:rPr>
        <w:t xml:space="preserve">). All GMPEs slightly overestimates with distribution very close to the </w:t>
      </w:r>
      <w:r w:rsidR="00DF426A" w:rsidRPr="002A4EB5">
        <w:rPr>
          <w:rFonts w:cs="Times New Roman"/>
          <w:b w:val="0"/>
          <w:color w:val="000000" w:themeColor="text1"/>
          <w:sz w:val="20"/>
          <w:szCs w:val="20"/>
        </w:rPr>
        <w:t>zero-residual</w:t>
      </w:r>
      <w:r w:rsidRPr="002A4EB5">
        <w:rPr>
          <w:rFonts w:cs="Times New Roman"/>
          <w:b w:val="0"/>
          <w:color w:val="000000" w:themeColor="text1"/>
          <w:sz w:val="20"/>
          <w:szCs w:val="20"/>
        </w:rPr>
        <w:t xml:space="preserve"> line (</w:t>
      </w:r>
      <w:r w:rsidRPr="002A4EB5">
        <w:rPr>
          <w:rFonts w:cs="Times New Roman"/>
          <w:b w:val="0"/>
          <w:color w:val="000000" w:themeColor="text1"/>
          <w:sz w:val="20"/>
          <w:szCs w:val="20"/>
        </w:rPr>
        <w:fldChar w:fldCharType="begin"/>
      </w:r>
      <w:r w:rsidRPr="002A4EB5">
        <w:rPr>
          <w:rFonts w:cs="Times New Roman"/>
          <w:b w:val="0"/>
          <w:color w:val="000000" w:themeColor="text1"/>
          <w:sz w:val="20"/>
          <w:szCs w:val="20"/>
        </w:rPr>
        <w:instrText xml:space="preserve"> REF _Ref68786719 \h  \* MERGEFORMAT </w:instrText>
      </w:r>
      <w:r w:rsidRPr="002A4EB5">
        <w:rPr>
          <w:rFonts w:cs="Times New Roman"/>
          <w:b w:val="0"/>
          <w:color w:val="000000" w:themeColor="text1"/>
          <w:sz w:val="20"/>
          <w:szCs w:val="20"/>
        </w:rPr>
      </w:r>
      <w:r w:rsidRPr="002A4EB5">
        <w:rPr>
          <w:rFonts w:cs="Times New Roman"/>
          <w:b w:val="0"/>
          <w:color w:val="000000" w:themeColor="text1"/>
          <w:sz w:val="20"/>
          <w:szCs w:val="20"/>
        </w:rPr>
        <w:fldChar w:fldCharType="separate"/>
      </w:r>
      <w:r w:rsidRPr="002A4EB5">
        <w:rPr>
          <w:rFonts w:cs="Times New Roman"/>
          <w:b w:val="0"/>
          <w:color w:val="000000" w:themeColor="text1"/>
          <w:sz w:val="20"/>
          <w:szCs w:val="20"/>
        </w:rPr>
        <w:t>Figure 5</w:t>
      </w:r>
      <w:r w:rsidRPr="002A4EB5">
        <w:rPr>
          <w:rFonts w:cs="Times New Roman"/>
          <w:b w:val="0"/>
          <w:color w:val="000000" w:themeColor="text1"/>
          <w:sz w:val="20"/>
          <w:szCs w:val="20"/>
        </w:rPr>
        <w:fldChar w:fldCharType="end"/>
      </w:r>
      <w:r w:rsidRPr="002A4EB5">
        <w:rPr>
          <w:rFonts w:cs="Times New Roman"/>
          <w:b w:val="0"/>
          <w:color w:val="000000" w:themeColor="text1"/>
          <w:sz w:val="20"/>
          <w:szCs w:val="20"/>
        </w:rPr>
        <w:t>).</w:t>
      </w:r>
    </w:p>
    <w:p w14:paraId="0D1E316F" w14:textId="7D6D47C9" w:rsidR="004C5428" w:rsidRPr="002A4EB5" w:rsidRDefault="002A4EB5" w:rsidP="002A4EB5">
      <w:pPr>
        <w:pStyle w:val="Caption"/>
        <w:jc w:val="both"/>
        <w:rPr>
          <w:rFonts w:cs="Times New Roman"/>
          <w:b w:val="0"/>
          <w:color w:val="000000" w:themeColor="text1"/>
          <w:sz w:val="20"/>
          <w:szCs w:val="20"/>
        </w:rPr>
      </w:pPr>
      <w:r w:rsidRPr="002A4EB5">
        <w:rPr>
          <w:rFonts w:cs="Times New Roman"/>
          <w:b w:val="0"/>
          <w:color w:val="000000" w:themeColor="text1"/>
          <w:sz w:val="20"/>
          <w:szCs w:val="20"/>
        </w:rPr>
        <w:t>Analysis of intra-event residual</w:t>
      </w:r>
      <w:r w:rsidR="003722D2">
        <w:rPr>
          <w:rFonts w:cs="Times New Roman"/>
          <w:b w:val="0"/>
          <w:color w:val="000000" w:themeColor="text1"/>
          <w:sz w:val="20"/>
          <w:szCs w:val="20"/>
        </w:rPr>
        <w:t>s</w:t>
      </w:r>
      <w:r w:rsidRPr="002A4EB5">
        <w:rPr>
          <w:rFonts w:cs="Times New Roman"/>
          <w:b w:val="0"/>
          <w:color w:val="000000" w:themeColor="text1"/>
          <w:sz w:val="20"/>
          <w:szCs w:val="20"/>
        </w:rPr>
        <w:t xml:space="preserve"> shows larger residuals (between -0.2 to 0.2) compared to inter-event residual</w:t>
      </w:r>
      <w:r w:rsidR="003722D2">
        <w:rPr>
          <w:rFonts w:cs="Times New Roman"/>
          <w:b w:val="0"/>
          <w:color w:val="000000" w:themeColor="text1"/>
          <w:sz w:val="20"/>
          <w:szCs w:val="20"/>
        </w:rPr>
        <w:t>s</w:t>
      </w:r>
      <w:r w:rsidRPr="002A4EB5">
        <w:rPr>
          <w:rFonts w:cs="Times New Roman"/>
          <w:b w:val="0"/>
          <w:color w:val="000000" w:themeColor="text1"/>
          <w:sz w:val="20"/>
          <w:szCs w:val="20"/>
        </w:rPr>
        <w:t xml:space="preserve"> (</w:t>
      </w:r>
      <w:r w:rsidRPr="002A4EB5">
        <w:rPr>
          <w:rFonts w:cs="Times New Roman"/>
          <w:b w:val="0"/>
          <w:color w:val="000000" w:themeColor="text1"/>
          <w:sz w:val="20"/>
          <w:szCs w:val="20"/>
        </w:rPr>
        <w:fldChar w:fldCharType="begin"/>
      </w:r>
      <w:r w:rsidRPr="002A4EB5">
        <w:rPr>
          <w:rFonts w:cs="Times New Roman"/>
          <w:b w:val="0"/>
          <w:color w:val="000000" w:themeColor="text1"/>
          <w:sz w:val="20"/>
          <w:szCs w:val="20"/>
        </w:rPr>
        <w:instrText xml:space="preserve"> REF _Ref68787325 \h  \* MERGEFORMAT </w:instrText>
      </w:r>
      <w:r w:rsidRPr="002A4EB5">
        <w:rPr>
          <w:rFonts w:cs="Times New Roman"/>
          <w:b w:val="0"/>
          <w:color w:val="000000" w:themeColor="text1"/>
          <w:sz w:val="20"/>
          <w:szCs w:val="20"/>
        </w:rPr>
      </w:r>
      <w:r w:rsidRPr="002A4EB5">
        <w:rPr>
          <w:rFonts w:cs="Times New Roman"/>
          <w:b w:val="0"/>
          <w:color w:val="000000" w:themeColor="text1"/>
          <w:sz w:val="20"/>
          <w:szCs w:val="20"/>
        </w:rPr>
        <w:fldChar w:fldCharType="separate"/>
      </w:r>
      <w:r w:rsidRPr="002A4EB5">
        <w:rPr>
          <w:rFonts w:cs="Times New Roman"/>
          <w:b w:val="0"/>
          <w:color w:val="000000" w:themeColor="text1"/>
          <w:sz w:val="20"/>
          <w:szCs w:val="20"/>
        </w:rPr>
        <w:t>Figure 6</w:t>
      </w:r>
      <w:r w:rsidRPr="002A4EB5">
        <w:rPr>
          <w:rFonts w:cs="Times New Roman"/>
          <w:b w:val="0"/>
          <w:color w:val="000000" w:themeColor="text1"/>
          <w:sz w:val="20"/>
          <w:szCs w:val="20"/>
        </w:rPr>
        <w:fldChar w:fldCharType="end"/>
      </w:r>
      <w:r w:rsidRPr="002A4EB5">
        <w:rPr>
          <w:rFonts w:cs="Times New Roman"/>
          <w:b w:val="0"/>
          <w:color w:val="000000" w:themeColor="text1"/>
          <w:sz w:val="20"/>
          <w:szCs w:val="20"/>
        </w:rPr>
        <w:t xml:space="preserve">, </w:t>
      </w:r>
      <w:r w:rsidRPr="002A4EB5">
        <w:rPr>
          <w:rFonts w:cs="Times New Roman"/>
          <w:b w:val="0"/>
          <w:color w:val="000000" w:themeColor="text1"/>
          <w:sz w:val="20"/>
          <w:szCs w:val="20"/>
        </w:rPr>
        <w:fldChar w:fldCharType="begin"/>
      </w:r>
      <w:r w:rsidRPr="002A4EB5">
        <w:rPr>
          <w:rFonts w:cs="Times New Roman"/>
          <w:b w:val="0"/>
          <w:color w:val="000000" w:themeColor="text1"/>
          <w:sz w:val="20"/>
          <w:szCs w:val="20"/>
        </w:rPr>
        <w:instrText xml:space="preserve"> REF _Ref68787333 \h  \* MERGEFORMAT </w:instrText>
      </w:r>
      <w:r w:rsidRPr="002A4EB5">
        <w:rPr>
          <w:rFonts w:cs="Times New Roman"/>
          <w:b w:val="0"/>
          <w:color w:val="000000" w:themeColor="text1"/>
          <w:sz w:val="20"/>
          <w:szCs w:val="20"/>
        </w:rPr>
      </w:r>
      <w:r w:rsidRPr="002A4EB5">
        <w:rPr>
          <w:rFonts w:cs="Times New Roman"/>
          <w:b w:val="0"/>
          <w:color w:val="000000" w:themeColor="text1"/>
          <w:sz w:val="20"/>
          <w:szCs w:val="20"/>
        </w:rPr>
        <w:fldChar w:fldCharType="separate"/>
      </w:r>
      <w:r w:rsidRPr="002A4EB5">
        <w:rPr>
          <w:rFonts w:cs="Times New Roman"/>
          <w:b w:val="0"/>
          <w:color w:val="000000" w:themeColor="text1"/>
          <w:sz w:val="20"/>
          <w:szCs w:val="20"/>
        </w:rPr>
        <w:t>Figure 7</w:t>
      </w:r>
      <w:r w:rsidRPr="002A4EB5">
        <w:rPr>
          <w:rFonts w:cs="Times New Roman"/>
          <w:b w:val="0"/>
          <w:color w:val="000000" w:themeColor="text1"/>
          <w:sz w:val="20"/>
          <w:szCs w:val="20"/>
        </w:rPr>
        <w:fldChar w:fldCharType="end"/>
      </w:r>
      <w:r w:rsidRPr="002A4EB5">
        <w:rPr>
          <w:rFonts w:cs="Times New Roman"/>
          <w:b w:val="0"/>
          <w:color w:val="000000" w:themeColor="text1"/>
          <w:sz w:val="20"/>
          <w:szCs w:val="20"/>
        </w:rPr>
        <w:t xml:space="preserve"> and </w:t>
      </w:r>
      <w:r w:rsidRPr="002A4EB5">
        <w:rPr>
          <w:rFonts w:cs="Times New Roman"/>
          <w:b w:val="0"/>
          <w:color w:val="000000" w:themeColor="text1"/>
          <w:sz w:val="20"/>
          <w:szCs w:val="20"/>
        </w:rPr>
        <w:fldChar w:fldCharType="begin"/>
      </w:r>
      <w:r w:rsidRPr="002A4EB5">
        <w:rPr>
          <w:rFonts w:cs="Times New Roman"/>
          <w:b w:val="0"/>
          <w:color w:val="000000" w:themeColor="text1"/>
          <w:sz w:val="20"/>
          <w:szCs w:val="20"/>
        </w:rPr>
        <w:instrText xml:space="preserve"> REF _Ref68787344 \h  \* MERGEFORMAT </w:instrText>
      </w:r>
      <w:r w:rsidRPr="002A4EB5">
        <w:rPr>
          <w:rFonts w:cs="Times New Roman"/>
          <w:b w:val="0"/>
          <w:color w:val="000000" w:themeColor="text1"/>
          <w:sz w:val="20"/>
          <w:szCs w:val="20"/>
        </w:rPr>
      </w:r>
      <w:r w:rsidRPr="002A4EB5">
        <w:rPr>
          <w:rFonts w:cs="Times New Roman"/>
          <w:b w:val="0"/>
          <w:color w:val="000000" w:themeColor="text1"/>
          <w:sz w:val="20"/>
          <w:szCs w:val="20"/>
        </w:rPr>
        <w:fldChar w:fldCharType="separate"/>
      </w:r>
      <w:r w:rsidRPr="002A4EB5">
        <w:rPr>
          <w:rFonts w:cs="Times New Roman"/>
          <w:b w:val="0"/>
          <w:color w:val="000000" w:themeColor="text1"/>
          <w:sz w:val="20"/>
          <w:szCs w:val="20"/>
        </w:rPr>
        <w:t>Figure 8</w:t>
      </w:r>
      <w:r w:rsidRPr="002A4EB5">
        <w:rPr>
          <w:rFonts w:cs="Times New Roman"/>
          <w:b w:val="0"/>
          <w:color w:val="000000" w:themeColor="text1"/>
          <w:sz w:val="20"/>
          <w:szCs w:val="20"/>
        </w:rPr>
        <w:fldChar w:fldCharType="end"/>
      </w:r>
      <w:r w:rsidRPr="002A4EB5">
        <w:rPr>
          <w:rFonts w:cs="Times New Roman"/>
          <w:b w:val="0"/>
          <w:color w:val="000000" w:themeColor="text1"/>
          <w:sz w:val="20"/>
          <w:szCs w:val="20"/>
        </w:rPr>
        <w:t xml:space="preserve">). High scattering at low magnitudes is consistently observed for all the spectral periods. The scattering improves at high magnitudes but changes from positive to negative residuals with increasing periods. Large residual values seen in </w:t>
      </w:r>
      <w:r w:rsidRPr="002A4EB5">
        <w:rPr>
          <w:rFonts w:cs="Times New Roman"/>
          <w:b w:val="0"/>
          <w:color w:val="000000" w:themeColor="text1"/>
          <w:sz w:val="20"/>
          <w:szCs w:val="20"/>
        </w:rPr>
        <w:fldChar w:fldCharType="begin"/>
      </w:r>
      <w:r w:rsidRPr="002A4EB5">
        <w:rPr>
          <w:rFonts w:cs="Times New Roman"/>
          <w:b w:val="0"/>
          <w:color w:val="000000" w:themeColor="text1"/>
          <w:sz w:val="20"/>
          <w:szCs w:val="20"/>
        </w:rPr>
        <w:instrText xml:space="preserve"> REF _Ref68787325 \h  \* MERGEFORMAT </w:instrText>
      </w:r>
      <w:r w:rsidRPr="002A4EB5">
        <w:rPr>
          <w:rFonts w:cs="Times New Roman"/>
          <w:b w:val="0"/>
          <w:color w:val="000000" w:themeColor="text1"/>
          <w:sz w:val="20"/>
          <w:szCs w:val="20"/>
        </w:rPr>
      </w:r>
      <w:r w:rsidRPr="002A4EB5">
        <w:rPr>
          <w:rFonts w:cs="Times New Roman"/>
          <w:b w:val="0"/>
          <w:color w:val="000000" w:themeColor="text1"/>
          <w:sz w:val="20"/>
          <w:szCs w:val="20"/>
        </w:rPr>
        <w:fldChar w:fldCharType="separate"/>
      </w:r>
      <w:r w:rsidRPr="002A4EB5">
        <w:rPr>
          <w:rFonts w:cs="Times New Roman"/>
          <w:b w:val="0"/>
          <w:color w:val="000000" w:themeColor="text1"/>
          <w:sz w:val="20"/>
          <w:szCs w:val="20"/>
        </w:rPr>
        <w:t>Figure 6</w:t>
      </w:r>
      <w:r w:rsidRPr="002A4EB5">
        <w:rPr>
          <w:rFonts w:cs="Times New Roman"/>
          <w:b w:val="0"/>
          <w:color w:val="000000" w:themeColor="text1"/>
          <w:sz w:val="20"/>
          <w:szCs w:val="20"/>
        </w:rPr>
        <w:fldChar w:fldCharType="end"/>
      </w:r>
      <w:r w:rsidRPr="002A4EB5">
        <w:rPr>
          <w:rFonts w:cs="Times New Roman"/>
          <w:b w:val="0"/>
          <w:color w:val="000000" w:themeColor="text1"/>
          <w:sz w:val="20"/>
          <w:szCs w:val="20"/>
        </w:rPr>
        <w:t xml:space="preserve"> and </w:t>
      </w:r>
      <w:r w:rsidRPr="002A4EB5">
        <w:rPr>
          <w:rFonts w:cs="Times New Roman"/>
          <w:b w:val="0"/>
          <w:color w:val="000000" w:themeColor="text1"/>
          <w:sz w:val="20"/>
          <w:szCs w:val="20"/>
        </w:rPr>
        <w:fldChar w:fldCharType="begin"/>
      </w:r>
      <w:r w:rsidRPr="002A4EB5">
        <w:rPr>
          <w:rFonts w:cs="Times New Roman"/>
          <w:b w:val="0"/>
          <w:color w:val="000000" w:themeColor="text1"/>
          <w:sz w:val="20"/>
          <w:szCs w:val="20"/>
        </w:rPr>
        <w:instrText xml:space="preserve"> REF _Ref68787333 \h  \* MERGEFORMAT </w:instrText>
      </w:r>
      <w:r w:rsidRPr="002A4EB5">
        <w:rPr>
          <w:rFonts w:cs="Times New Roman"/>
          <w:b w:val="0"/>
          <w:color w:val="000000" w:themeColor="text1"/>
          <w:sz w:val="20"/>
          <w:szCs w:val="20"/>
        </w:rPr>
      </w:r>
      <w:r w:rsidRPr="002A4EB5">
        <w:rPr>
          <w:rFonts w:cs="Times New Roman"/>
          <w:b w:val="0"/>
          <w:color w:val="000000" w:themeColor="text1"/>
          <w:sz w:val="20"/>
          <w:szCs w:val="20"/>
        </w:rPr>
        <w:fldChar w:fldCharType="separate"/>
      </w:r>
      <w:r w:rsidRPr="002A4EB5">
        <w:rPr>
          <w:rFonts w:cs="Times New Roman"/>
          <w:b w:val="0"/>
          <w:color w:val="000000" w:themeColor="text1"/>
          <w:sz w:val="20"/>
          <w:szCs w:val="20"/>
        </w:rPr>
        <w:t>Figure 7</w:t>
      </w:r>
      <w:r w:rsidRPr="002A4EB5">
        <w:rPr>
          <w:rFonts w:cs="Times New Roman"/>
          <w:b w:val="0"/>
          <w:color w:val="000000" w:themeColor="text1"/>
          <w:sz w:val="20"/>
          <w:szCs w:val="20"/>
        </w:rPr>
        <w:fldChar w:fldCharType="end"/>
      </w:r>
      <w:r w:rsidRPr="002A4EB5">
        <w:rPr>
          <w:rFonts w:cs="Times New Roman"/>
          <w:b w:val="0"/>
          <w:color w:val="000000" w:themeColor="text1"/>
          <w:sz w:val="20"/>
          <w:szCs w:val="20"/>
        </w:rPr>
        <w:t xml:space="preserve"> might be due to the use of GMPEs outside their range of applicability.  Silva et al. (2003), Rietbrock et al. (2013), Frankel et al. (1994)</w:t>
      </w:r>
      <w:r w:rsidR="00DF426A">
        <w:rPr>
          <w:rFonts w:cs="Times New Roman"/>
          <w:b w:val="0"/>
          <w:color w:val="000000" w:themeColor="text1"/>
          <w:sz w:val="20"/>
          <w:szCs w:val="20"/>
        </w:rPr>
        <w:t>,</w:t>
      </w:r>
      <w:r w:rsidRPr="002A4EB5">
        <w:rPr>
          <w:rFonts w:cs="Times New Roman"/>
          <w:b w:val="0"/>
          <w:color w:val="000000" w:themeColor="text1"/>
          <w:sz w:val="20"/>
          <w:szCs w:val="20"/>
        </w:rPr>
        <w:t xml:space="preserve"> and Atkinson (2015) have large scatter for PGA compared to other GMPEs. The scatter is more significant for small</w:t>
      </w:r>
      <w:r w:rsidR="00DF426A">
        <w:rPr>
          <w:rFonts w:cs="Times New Roman"/>
          <w:b w:val="0"/>
          <w:color w:val="000000" w:themeColor="text1"/>
          <w:sz w:val="20"/>
          <w:szCs w:val="20"/>
        </w:rPr>
        <w:t>-</w:t>
      </w:r>
      <w:r w:rsidRPr="002A4EB5">
        <w:rPr>
          <w:rFonts w:cs="Times New Roman"/>
          <w:b w:val="0"/>
          <w:color w:val="000000" w:themeColor="text1"/>
          <w:sz w:val="20"/>
          <w:szCs w:val="20"/>
        </w:rPr>
        <w:t xml:space="preserve">magnitude events than for moderate ones. For </w:t>
      </w:r>
      <w:r w:rsidR="00DF426A">
        <w:rPr>
          <w:rFonts w:cs="Times New Roman"/>
          <w:b w:val="0"/>
          <w:color w:val="000000" w:themeColor="text1"/>
          <w:sz w:val="20"/>
          <w:szCs w:val="20"/>
        </w:rPr>
        <w:t xml:space="preserve">the </w:t>
      </w:r>
      <w:r w:rsidRPr="002A4EB5">
        <w:rPr>
          <w:rFonts w:cs="Times New Roman"/>
          <w:b w:val="0"/>
          <w:color w:val="000000" w:themeColor="text1"/>
          <w:sz w:val="20"/>
          <w:szCs w:val="20"/>
        </w:rPr>
        <w:t>spectral period T= 0.15s, all the GMPEs ha</w:t>
      </w:r>
      <w:r w:rsidR="00DF426A">
        <w:rPr>
          <w:rFonts w:cs="Times New Roman"/>
          <w:b w:val="0"/>
          <w:color w:val="000000" w:themeColor="text1"/>
          <w:sz w:val="20"/>
          <w:szCs w:val="20"/>
        </w:rPr>
        <w:t>d</w:t>
      </w:r>
      <w:r w:rsidRPr="002A4EB5">
        <w:rPr>
          <w:rFonts w:cs="Times New Roman"/>
          <w:b w:val="0"/>
          <w:color w:val="000000" w:themeColor="text1"/>
          <w:sz w:val="20"/>
          <w:szCs w:val="20"/>
        </w:rPr>
        <w:t xml:space="preserve"> residuals </w:t>
      </w:r>
      <w:r w:rsidR="00DF426A">
        <w:rPr>
          <w:rFonts w:cs="Times New Roman"/>
          <w:b w:val="0"/>
          <w:color w:val="000000" w:themeColor="text1"/>
          <w:sz w:val="20"/>
          <w:szCs w:val="20"/>
        </w:rPr>
        <w:t xml:space="preserve">of </w:t>
      </w:r>
      <w:r w:rsidRPr="002A4EB5">
        <w:rPr>
          <w:rFonts w:cs="Times New Roman"/>
          <w:b w:val="0"/>
          <w:color w:val="000000" w:themeColor="text1"/>
          <w:sz w:val="20"/>
          <w:szCs w:val="20"/>
        </w:rPr>
        <w:t>less than 0.1</w:t>
      </w:r>
      <w:r w:rsidR="00DF426A">
        <w:rPr>
          <w:rFonts w:cs="Times New Roman"/>
          <w:b w:val="0"/>
          <w:color w:val="000000" w:themeColor="text1"/>
          <w:sz w:val="20"/>
          <w:szCs w:val="20"/>
        </w:rPr>
        <w:t>,</w:t>
      </w:r>
      <w:r w:rsidRPr="002A4EB5">
        <w:rPr>
          <w:rFonts w:cs="Times New Roman"/>
          <w:b w:val="0"/>
          <w:color w:val="000000" w:themeColor="text1"/>
          <w:sz w:val="20"/>
          <w:szCs w:val="20"/>
        </w:rPr>
        <w:t xml:space="preserve"> although they seem</w:t>
      </w:r>
      <w:r w:rsidR="00DF426A">
        <w:rPr>
          <w:rFonts w:cs="Times New Roman"/>
          <w:b w:val="0"/>
          <w:color w:val="000000" w:themeColor="text1"/>
          <w:sz w:val="20"/>
          <w:szCs w:val="20"/>
        </w:rPr>
        <w:t>ed</w:t>
      </w:r>
      <w:r w:rsidRPr="002A4EB5">
        <w:rPr>
          <w:rFonts w:cs="Times New Roman"/>
          <w:b w:val="0"/>
          <w:color w:val="000000" w:themeColor="text1"/>
          <w:sz w:val="20"/>
          <w:szCs w:val="20"/>
        </w:rPr>
        <w:t xml:space="preserve"> to follow the trend of PGA. At spectral period 2.0s, the residuals are lower than ± 0.05</w:t>
      </w:r>
      <w:r w:rsidR="00DF426A">
        <w:rPr>
          <w:rFonts w:cs="Times New Roman"/>
          <w:b w:val="0"/>
          <w:color w:val="000000" w:themeColor="text1"/>
          <w:sz w:val="20"/>
          <w:szCs w:val="20"/>
        </w:rPr>
        <w:t>,</w:t>
      </w:r>
      <w:r w:rsidRPr="002A4EB5">
        <w:rPr>
          <w:rFonts w:cs="Times New Roman"/>
          <w:b w:val="0"/>
          <w:color w:val="000000" w:themeColor="text1"/>
          <w:sz w:val="20"/>
          <w:szCs w:val="20"/>
        </w:rPr>
        <w:t xml:space="preserve"> although they seem </w:t>
      </w:r>
      <w:r w:rsidR="00DF426A">
        <w:rPr>
          <w:rFonts w:cs="Times New Roman"/>
          <w:b w:val="0"/>
          <w:color w:val="000000" w:themeColor="text1"/>
          <w:sz w:val="20"/>
          <w:szCs w:val="20"/>
        </w:rPr>
        <w:t>-</w:t>
      </w:r>
      <w:r w:rsidRPr="002A4EB5">
        <w:rPr>
          <w:rFonts w:cs="Times New Roman"/>
          <w:b w:val="0"/>
          <w:color w:val="000000" w:themeColor="text1"/>
          <w:sz w:val="20"/>
          <w:szCs w:val="20"/>
        </w:rPr>
        <w:t xml:space="preserve"> more negative.</w:t>
      </w:r>
    </w:p>
    <w:p w14:paraId="2B371209" w14:textId="77777777" w:rsidR="002A4EB5" w:rsidRPr="002A4EB5" w:rsidRDefault="002A4EB5" w:rsidP="002A4EB5"/>
    <w:p w14:paraId="5A5B2EF0" w14:textId="77777777" w:rsidR="004C5428" w:rsidRPr="00927BAD" w:rsidRDefault="004C5428" w:rsidP="00DA1B47">
      <w:pPr>
        <w:spacing w:line="240" w:lineRule="auto"/>
        <w:rPr>
          <w:rFonts w:cs="Times New Roman"/>
          <w:sz w:val="20"/>
          <w:szCs w:val="20"/>
        </w:rPr>
        <w:sectPr w:rsidR="004C5428" w:rsidRPr="00927BAD" w:rsidSect="00C52E7C">
          <w:footerReference w:type="default" r:id="rId12"/>
          <w:pgSz w:w="11907" w:h="16840" w:code="9"/>
          <w:pgMar w:top="1134" w:right="1134" w:bottom="851" w:left="1134" w:header="567" w:footer="624" w:gutter="0"/>
          <w:pgNumType w:start="1"/>
          <w:cols w:space="720"/>
          <w:docGrid w:linePitch="299"/>
        </w:sectPr>
      </w:pPr>
      <w:bookmarkStart w:id="19" w:name="_Ref37709896"/>
    </w:p>
    <w:p w14:paraId="1DC31300" w14:textId="4D504769" w:rsidR="000878A1" w:rsidRPr="000878A1" w:rsidRDefault="009D7EA3" w:rsidP="000878A1">
      <w:pPr>
        <w:pStyle w:val="NormalWeb"/>
        <w:rPr>
          <w:rFonts w:eastAsia="Times New Roman"/>
          <w:lang w:val="en-ZW" w:eastAsia="en-ZW"/>
        </w:rPr>
      </w:pPr>
      <w:bookmarkStart w:id="20" w:name="_Toc69136519"/>
      <w:bookmarkEnd w:id="18"/>
      <w:bookmarkEnd w:id="19"/>
      <w:r w:rsidRPr="009D7EA3">
        <w:rPr>
          <w:rFonts w:eastAsia="Times New Roman"/>
          <w:noProof/>
          <w:lang w:val="en-ZW" w:eastAsia="en-ZW"/>
        </w:rPr>
        <w:lastRenderedPageBreak/>
        <w:drawing>
          <wp:inline distT="0" distB="0" distL="0" distR="0" wp14:anchorId="56FFDE9C" wp14:editId="3A35B9C0">
            <wp:extent cx="6073912" cy="9000000"/>
            <wp:effectExtent l="0" t="0" r="3175" b="0"/>
            <wp:docPr id="521" name="Picture 521" descr="C:\Users\brassnavy.manzunzu\Documents\Manuscripts\SAIMM paper\Review\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rassnavy.manzunzu\Documents\Manuscripts\SAIMM paper\Review\Figure 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7201"/>
                    <a:stretch/>
                  </pic:blipFill>
                  <pic:spPr bwMode="auto">
                    <a:xfrm>
                      <a:off x="0" y="0"/>
                      <a:ext cx="6073912" cy="9000000"/>
                    </a:xfrm>
                    <a:prstGeom prst="rect">
                      <a:avLst/>
                    </a:prstGeom>
                    <a:noFill/>
                    <a:ln>
                      <a:noFill/>
                    </a:ln>
                    <a:extLst>
                      <a:ext uri="{53640926-AAD7-44D8-BBD7-CCE9431645EC}">
                        <a14:shadowObscured xmlns:a14="http://schemas.microsoft.com/office/drawing/2010/main"/>
                      </a:ext>
                    </a:extLst>
                  </pic:spPr>
                </pic:pic>
              </a:graphicData>
            </a:graphic>
          </wp:inline>
        </w:drawing>
      </w:r>
    </w:p>
    <w:p w14:paraId="6D8A791C" w14:textId="1EE3A1A1" w:rsidR="00966ADD" w:rsidRPr="00927BAD" w:rsidRDefault="00966ADD" w:rsidP="00966ADD">
      <w:pPr>
        <w:pStyle w:val="Caption"/>
        <w:jc w:val="both"/>
        <w:rPr>
          <w:rFonts w:cs="Times New Roman"/>
          <w:b w:val="0"/>
          <w:color w:val="auto"/>
          <w:sz w:val="20"/>
          <w:szCs w:val="20"/>
        </w:rPr>
      </w:pPr>
      <w:r w:rsidRPr="00744F1E">
        <w:rPr>
          <w:rFonts w:cs="Times New Roman"/>
          <w:b w:val="0"/>
          <w:color w:val="auto"/>
          <w:sz w:val="20"/>
          <w:szCs w:val="20"/>
        </w:rPr>
        <w:t xml:space="preserve">Figure </w:t>
      </w:r>
      <w:r w:rsidR="00F10700">
        <w:rPr>
          <w:rFonts w:cs="Times New Roman"/>
          <w:b w:val="0"/>
          <w:color w:val="auto"/>
          <w:sz w:val="20"/>
          <w:szCs w:val="20"/>
        </w:rPr>
        <w:t>3</w:t>
      </w:r>
      <w:r w:rsidRPr="00744F1E">
        <w:rPr>
          <w:rFonts w:cs="Times New Roman"/>
          <w:b w:val="0"/>
          <w:color w:val="auto"/>
          <w:sz w:val="20"/>
          <w:szCs w:val="20"/>
        </w:rPr>
        <w:t xml:space="preserve">: </w:t>
      </w:r>
      <w:r w:rsidRPr="00927BAD">
        <w:rPr>
          <w:rFonts w:cs="Times New Roman"/>
          <w:b w:val="0"/>
          <w:color w:val="auto"/>
          <w:sz w:val="20"/>
          <w:szCs w:val="20"/>
        </w:rPr>
        <w:t>The inter-event residuals of all GMPEs for PGA (T = 0.01s) spectral acceleration versus hypocentral distance.</w:t>
      </w:r>
      <w:bookmarkEnd w:id="20"/>
    </w:p>
    <w:p w14:paraId="0D30A157" w14:textId="0B2F678F" w:rsidR="00587E09" w:rsidRPr="00587E09" w:rsidRDefault="009D7EA3" w:rsidP="00587E09">
      <w:pPr>
        <w:pStyle w:val="NormalWeb"/>
        <w:rPr>
          <w:rFonts w:eastAsia="Times New Roman"/>
          <w:lang w:val="en-ZW" w:eastAsia="en-ZW"/>
        </w:rPr>
      </w:pPr>
      <w:bookmarkStart w:id="21" w:name="_Ref66180381"/>
      <w:bookmarkStart w:id="22" w:name="_Ref68786704"/>
      <w:bookmarkStart w:id="23" w:name="_Toc69136520"/>
      <w:r w:rsidRPr="009D7EA3">
        <w:rPr>
          <w:rFonts w:eastAsia="Times New Roman"/>
          <w:noProof/>
          <w:lang w:val="en-ZW" w:eastAsia="en-ZW"/>
        </w:rPr>
        <w:lastRenderedPageBreak/>
        <w:drawing>
          <wp:inline distT="0" distB="0" distL="0" distR="0" wp14:anchorId="4D9FEFAB" wp14:editId="7269443E">
            <wp:extent cx="5882098" cy="9000000"/>
            <wp:effectExtent l="0" t="0" r="4445" b="0"/>
            <wp:docPr id="522" name="Picture 522" descr="C:\Users\brassnavy.manzunzu\Documents\Manuscripts\SAIMM paper\Review\Fig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rassnavy.manzunzu\Documents\Manuscripts\SAIMM paper\Review\Figure 4.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2193"/>
                    <a:stretch/>
                  </pic:blipFill>
                  <pic:spPr bwMode="auto">
                    <a:xfrm>
                      <a:off x="0" y="0"/>
                      <a:ext cx="5882098" cy="9000000"/>
                    </a:xfrm>
                    <a:prstGeom prst="rect">
                      <a:avLst/>
                    </a:prstGeom>
                    <a:noFill/>
                    <a:ln>
                      <a:noFill/>
                    </a:ln>
                    <a:extLst>
                      <a:ext uri="{53640926-AAD7-44D8-BBD7-CCE9431645EC}">
                        <a14:shadowObscured xmlns:a14="http://schemas.microsoft.com/office/drawing/2010/main"/>
                      </a:ext>
                    </a:extLst>
                  </pic:spPr>
                </pic:pic>
              </a:graphicData>
            </a:graphic>
          </wp:inline>
        </w:drawing>
      </w:r>
    </w:p>
    <w:p w14:paraId="3C5013A9" w14:textId="3D7B0BFD" w:rsidR="00966ADD" w:rsidRPr="00927BAD" w:rsidRDefault="00966ADD" w:rsidP="00966ADD">
      <w:pPr>
        <w:pStyle w:val="Caption"/>
        <w:jc w:val="both"/>
        <w:rPr>
          <w:rFonts w:cs="Times New Roman"/>
          <w:b w:val="0"/>
          <w:color w:val="auto"/>
          <w:sz w:val="20"/>
          <w:szCs w:val="20"/>
        </w:rPr>
      </w:pPr>
      <w:r w:rsidRPr="00927BAD">
        <w:rPr>
          <w:rFonts w:cs="Times New Roman"/>
          <w:b w:val="0"/>
          <w:color w:val="auto"/>
          <w:sz w:val="20"/>
          <w:szCs w:val="20"/>
        </w:rPr>
        <w:t xml:space="preserve">Figure </w:t>
      </w:r>
      <w:bookmarkEnd w:id="21"/>
      <w:bookmarkEnd w:id="22"/>
      <w:r w:rsidR="00F10700">
        <w:rPr>
          <w:rFonts w:cs="Times New Roman"/>
          <w:b w:val="0"/>
          <w:color w:val="auto"/>
          <w:sz w:val="20"/>
          <w:szCs w:val="20"/>
        </w:rPr>
        <w:t>4</w:t>
      </w:r>
      <w:r w:rsidRPr="00927BAD">
        <w:rPr>
          <w:rFonts w:cs="Times New Roman"/>
          <w:b w:val="0"/>
          <w:color w:val="auto"/>
          <w:sz w:val="20"/>
          <w:szCs w:val="20"/>
        </w:rPr>
        <w:t>: The inter-event residuals of all GMPEs for PSA (T = 0.15s) versus hypocentral distance.</w:t>
      </w:r>
      <w:bookmarkEnd w:id="23"/>
    </w:p>
    <w:p w14:paraId="670F1CA0" w14:textId="77777777" w:rsidR="00966ADD" w:rsidRPr="00927BAD" w:rsidRDefault="00966ADD" w:rsidP="00966ADD">
      <w:pPr>
        <w:spacing w:line="240" w:lineRule="auto"/>
        <w:jc w:val="both"/>
        <w:rPr>
          <w:rFonts w:cs="Times New Roman"/>
          <w:sz w:val="20"/>
          <w:szCs w:val="20"/>
        </w:rPr>
      </w:pPr>
    </w:p>
    <w:p w14:paraId="59B32F4A" w14:textId="2F6F834E" w:rsidR="00587E09" w:rsidRPr="00587E09" w:rsidRDefault="00A84A87" w:rsidP="00587E09">
      <w:pPr>
        <w:pStyle w:val="NormalWeb"/>
        <w:rPr>
          <w:rFonts w:eastAsia="Times New Roman"/>
          <w:lang w:val="en-ZW" w:eastAsia="en-ZW"/>
        </w:rPr>
      </w:pPr>
      <w:bookmarkStart w:id="24" w:name="_Ref66180399"/>
      <w:bookmarkStart w:id="25" w:name="_Ref68786719"/>
      <w:bookmarkStart w:id="26" w:name="_Toc69136521"/>
      <w:r w:rsidRPr="00A84A87">
        <w:rPr>
          <w:rFonts w:eastAsia="Times New Roman"/>
          <w:noProof/>
          <w:lang w:val="en-ZW" w:eastAsia="en-ZW"/>
        </w:rPr>
        <w:drawing>
          <wp:inline distT="0" distB="0" distL="0" distR="0" wp14:anchorId="3977C23A" wp14:editId="03FB2F3F">
            <wp:extent cx="5644316" cy="8460000"/>
            <wp:effectExtent l="0" t="0" r="0" b="0"/>
            <wp:docPr id="523" name="Picture 523" descr="C:\Users\brassnavy.manzunzu\Documents\Manuscripts\SAIMM paper\Review\Figur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rassnavy.manzunzu\Documents\Manuscripts\SAIMM paper\Review\Figure 5.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273" b="16396"/>
                    <a:stretch/>
                  </pic:blipFill>
                  <pic:spPr bwMode="auto">
                    <a:xfrm>
                      <a:off x="0" y="0"/>
                      <a:ext cx="5644316" cy="8460000"/>
                    </a:xfrm>
                    <a:prstGeom prst="rect">
                      <a:avLst/>
                    </a:prstGeom>
                    <a:noFill/>
                    <a:ln>
                      <a:noFill/>
                    </a:ln>
                    <a:extLst>
                      <a:ext uri="{53640926-AAD7-44D8-BBD7-CCE9431645EC}">
                        <a14:shadowObscured xmlns:a14="http://schemas.microsoft.com/office/drawing/2010/main"/>
                      </a:ext>
                    </a:extLst>
                  </pic:spPr>
                </pic:pic>
              </a:graphicData>
            </a:graphic>
          </wp:inline>
        </w:drawing>
      </w:r>
    </w:p>
    <w:p w14:paraId="101E977C" w14:textId="45BA5606" w:rsidR="00966ADD" w:rsidRPr="00927BAD" w:rsidRDefault="00966ADD" w:rsidP="00966ADD">
      <w:pPr>
        <w:pStyle w:val="Caption"/>
        <w:jc w:val="both"/>
        <w:rPr>
          <w:rFonts w:cs="Times New Roman"/>
          <w:b w:val="0"/>
          <w:color w:val="auto"/>
          <w:sz w:val="20"/>
          <w:szCs w:val="20"/>
        </w:rPr>
      </w:pPr>
      <w:r w:rsidRPr="00927BAD">
        <w:rPr>
          <w:rFonts w:cs="Times New Roman"/>
          <w:b w:val="0"/>
          <w:color w:val="auto"/>
          <w:sz w:val="20"/>
          <w:szCs w:val="20"/>
        </w:rPr>
        <w:t xml:space="preserve">Figure </w:t>
      </w:r>
      <w:bookmarkEnd w:id="24"/>
      <w:bookmarkEnd w:id="25"/>
      <w:r w:rsidR="00F10700">
        <w:rPr>
          <w:rFonts w:cs="Times New Roman"/>
          <w:b w:val="0"/>
          <w:color w:val="auto"/>
          <w:sz w:val="20"/>
          <w:szCs w:val="20"/>
        </w:rPr>
        <w:t>5</w:t>
      </w:r>
      <w:r w:rsidRPr="00927BAD">
        <w:rPr>
          <w:rFonts w:cs="Times New Roman"/>
          <w:b w:val="0"/>
          <w:color w:val="auto"/>
          <w:sz w:val="20"/>
          <w:szCs w:val="20"/>
        </w:rPr>
        <w:t>: The inter-event residuals of all GMPEs for PGA (T = 2.0s) versus hypocentral distance.</w:t>
      </w:r>
      <w:bookmarkEnd w:id="26"/>
    </w:p>
    <w:p w14:paraId="00A63104" w14:textId="77777777" w:rsidR="00966ADD" w:rsidRPr="00927BAD" w:rsidRDefault="00966ADD" w:rsidP="00966ADD">
      <w:pPr>
        <w:spacing w:line="240" w:lineRule="auto"/>
        <w:rPr>
          <w:rFonts w:cs="Times New Roman"/>
          <w:sz w:val="20"/>
          <w:szCs w:val="20"/>
        </w:rPr>
        <w:sectPr w:rsidR="00966ADD" w:rsidRPr="00927BAD" w:rsidSect="000878A1">
          <w:pgSz w:w="11907" w:h="16840" w:code="9"/>
          <w:pgMar w:top="1134" w:right="1134" w:bottom="851" w:left="1134" w:header="567" w:footer="567" w:gutter="0"/>
          <w:cols w:space="720"/>
          <w:docGrid w:linePitch="299"/>
        </w:sectPr>
      </w:pPr>
    </w:p>
    <w:p w14:paraId="7F99E0AB" w14:textId="18B1FE74" w:rsidR="00587E09" w:rsidRPr="00587E09" w:rsidRDefault="00A84A87" w:rsidP="00587E09">
      <w:pPr>
        <w:pStyle w:val="NormalWeb"/>
        <w:rPr>
          <w:rFonts w:eastAsia="Times New Roman"/>
          <w:lang w:val="en-ZW" w:eastAsia="en-ZW"/>
        </w:rPr>
      </w:pPr>
      <w:bookmarkStart w:id="27" w:name="_Ref68787325"/>
      <w:bookmarkStart w:id="28" w:name="_Toc69136522"/>
      <w:bookmarkStart w:id="29" w:name="_GoBack"/>
      <w:r w:rsidRPr="00A84A87">
        <w:rPr>
          <w:rFonts w:eastAsia="Times New Roman"/>
          <w:noProof/>
          <w:lang w:val="en-ZW" w:eastAsia="en-ZW"/>
        </w:rPr>
        <w:lastRenderedPageBreak/>
        <w:drawing>
          <wp:inline distT="0" distB="0" distL="0" distR="0" wp14:anchorId="5AC01170" wp14:editId="3ECC508F">
            <wp:extent cx="5283375" cy="9000000"/>
            <wp:effectExtent l="0" t="0" r="0" b="0"/>
            <wp:docPr id="524" name="Picture 524" descr="C:\Users\brassnavy.manzunzu\Documents\Manuscripts\SAIMM paper\Review\Figur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brassnavy.manzunzu\Documents\Manuscripts\SAIMM paper\Review\Figure 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83375" cy="9000000"/>
                    </a:xfrm>
                    <a:prstGeom prst="rect">
                      <a:avLst/>
                    </a:prstGeom>
                    <a:noFill/>
                    <a:ln>
                      <a:noFill/>
                    </a:ln>
                  </pic:spPr>
                </pic:pic>
              </a:graphicData>
            </a:graphic>
          </wp:inline>
        </w:drawing>
      </w:r>
      <w:bookmarkEnd w:id="29"/>
    </w:p>
    <w:p w14:paraId="5E5C2B36" w14:textId="15996DA7" w:rsidR="00966ADD" w:rsidRPr="00927BAD" w:rsidRDefault="00966ADD" w:rsidP="00966ADD">
      <w:pPr>
        <w:pStyle w:val="Caption"/>
        <w:jc w:val="both"/>
        <w:rPr>
          <w:rFonts w:cs="Times New Roman"/>
          <w:color w:val="auto"/>
          <w:sz w:val="20"/>
          <w:szCs w:val="20"/>
        </w:rPr>
      </w:pPr>
      <w:r w:rsidRPr="00927BAD">
        <w:rPr>
          <w:rFonts w:cs="Times New Roman"/>
          <w:color w:val="auto"/>
          <w:sz w:val="20"/>
          <w:szCs w:val="20"/>
        </w:rPr>
        <w:t xml:space="preserve">Figure </w:t>
      </w:r>
      <w:bookmarkEnd w:id="27"/>
      <w:r w:rsidR="00F10700">
        <w:rPr>
          <w:rFonts w:cs="Times New Roman"/>
          <w:color w:val="auto"/>
          <w:sz w:val="20"/>
          <w:szCs w:val="20"/>
        </w:rPr>
        <w:t>6</w:t>
      </w:r>
      <w:r w:rsidRPr="00927BAD">
        <w:rPr>
          <w:rFonts w:cs="Times New Roman"/>
          <w:color w:val="auto"/>
          <w:sz w:val="20"/>
          <w:szCs w:val="20"/>
        </w:rPr>
        <w:t>:</w:t>
      </w:r>
      <w:r w:rsidRPr="00927BAD">
        <w:rPr>
          <w:rFonts w:cs="Times New Roman"/>
          <w:b w:val="0"/>
          <w:color w:val="auto"/>
          <w:sz w:val="20"/>
          <w:szCs w:val="20"/>
        </w:rPr>
        <w:t xml:space="preserve"> Inter-event terms, also referred to as the mean residual, for the 10 GMPEs for PGA.</w:t>
      </w:r>
      <w:bookmarkEnd w:id="28"/>
    </w:p>
    <w:p w14:paraId="10F29F5F" w14:textId="77777777" w:rsidR="00966ADD" w:rsidRPr="00927BAD" w:rsidRDefault="00966ADD" w:rsidP="00966ADD">
      <w:pPr>
        <w:spacing w:line="240" w:lineRule="auto"/>
        <w:jc w:val="both"/>
        <w:rPr>
          <w:rFonts w:cs="Times New Roman"/>
          <w:sz w:val="20"/>
          <w:szCs w:val="20"/>
        </w:rPr>
      </w:pPr>
    </w:p>
    <w:p w14:paraId="6095A660" w14:textId="39835FF7" w:rsidR="00587E09" w:rsidRPr="00587E09" w:rsidRDefault="00587E09" w:rsidP="00587E09">
      <w:pPr>
        <w:pStyle w:val="NormalWeb"/>
        <w:rPr>
          <w:rFonts w:eastAsia="Times New Roman"/>
          <w:lang w:val="en-ZW" w:eastAsia="en-ZW"/>
        </w:rPr>
      </w:pPr>
      <w:bookmarkStart w:id="30" w:name="_Ref66181106"/>
      <w:bookmarkStart w:id="31" w:name="_Ref68787333"/>
      <w:bookmarkStart w:id="32" w:name="_Toc69136523"/>
      <w:r w:rsidRPr="00587E09">
        <w:rPr>
          <w:rFonts w:eastAsia="Times New Roman"/>
          <w:noProof/>
          <w:lang w:val="en-ZW" w:eastAsia="en-ZW"/>
        </w:rPr>
        <w:drawing>
          <wp:inline distT="0" distB="0" distL="0" distR="0" wp14:anchorId="35E30077" wp14:editId="36683697">
            <wp:extent cx="5574756" cy="8568000"/>
            <wp:effectExtent l="0" t="0" r="6985" b="5080"/>
            <wp:docPr id="4" name="Picture 4" descr="C:\Users\brassnavy.manzunzu\Documents\Manuscripts\SAIMM paper\Review\Figur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rassnavy.manzunzu\Documents\Manuscripts\SAIMM paper\Review\Figure 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74756" cy="8568000"/>
                    </a:xfrm>
                    <a:prstGeom prst="rect">
                      <a:avLst/>
                    </a:prstGeom>
                    <a:noFill/>
                    <a:ln>
                      <a:noFill/>
                    </a:ln>
                  </pic:spPr>
                </pic:pic>
              </a:graphicData>
            </a:graphic>
          </wp:inline>
        </w:drawing>
      </w:r>
    </w:p>
    <w:p w14:paraId="4886CE3C" w14:textId="0D028075" w:rsidR="00966ADD" w:rsidRPr="00927BAD" w:rsidRDefault="00966ADD" w:rsidP="00966ADD">
      <w:pPr>
        <w:pStyle w:val="Caption"/>
        <w:jc w:val="both"/>
        <w:rPr>
          <w:rFonts w:cs="Times New Roman"/>
          <w:color w:val="auto"/>
          <w:sz w:val="20"/>
          <w:szCs w:val="20"/>
        </w:rPr>
      </w:pPr>
      <w:r w:rsidRPr="00927BAD">
        <w:rPr>
          <w:rFonts w:cs="Times New Roman"/>
          <w:color w:val="auto"/>
          <w:sz w:val="20"/>
          <w:szCs w:val="20"/>
        </w:rPr>
        <w:t xml:space="preserve">Figure </w:t>
      </w:r>
      <w:bookmarkEnd w:id="30"/>
      <w:bookmarkEnd w:id="31"/>
      <w:r w:rsidR="00F10700">
        <w:rPr>
          <w:rFonts w:cs="Times New Roman"/>
          <w:color w:val="auto"/>
          <w:sz w:val="20"/>
          <w:szCs w:val="20"/>
        </w:rPr>
        <w:t>7</w:t>
      </w:r>
      <w:r w:rsidRPr="00927BAD">
        <w:rPr>
          <w:rFonts w:cs="Times New Roman"/>
          <w:color w:val="auto"/>
          <w:sz w:val="20"/>
          <w:szCs w:val="20"/>
        </w:rPr>
        <w:t>:</w:t>
      </w:r>
      <w:r w:rsidRPr="00927BAD">
        <w:rPr>
          <w:rFonts w:cs="Times New Roman"/>
          <w:b w:val="0"/>
          <w:color w:val="auto"/>
          <w:sz w:val="20"/>
          <w:szCs w:val="20"/>
        </w:rPr>
        <w:t xml:space="preserve"> Inter-event terms, also referred to as the mean residual, for the 10 GMPEs T=0.15s spectral period.</w:t>
      </w:r>
      <w:bookmarkEnd w:id="32"/>
    </w:p>
    <w:p w14:paraId="31C6CA22" w14:textId="4568F376" w:rsidR="00E24FCB" w:rsidRPr="00E24FCB" w:rsidRDefault="00E24FCB" w:rsidP="00E24FCB">
      <w:pPr>
        <w:pStyle w:val="NormalWeb"/>
        <w:rPr>
          <w:rFonts w:eastAsia="Times New Roman"/>
          <w:lang w:val="en-ZW" w:eastAsia="en-ZW"/>
        </w:rPr>
      </w:pPr>
      <w:bookmarkStart w:id="33" w:name="_Ref26611854"/>
      <w:bookmarkStart w:id="34" w:name="_Ref68787344"/>
      <w:bookmarkStart w:id="35" w:name="_Toc69136524"/>
      <w:r w:rsidRPr="00E24FCB">
        <w:rPr>
          <w:rFonts w:eastAsia="Times New Roman"/>
          <w:noProof/>
          <w:lang w:val="en-ZW" w:eastAsia="en-ZW"/>
        </w:rPr>
        <w:lastRenderedPageBreak/>
        <w:drawing>
          <wp:inline distT="0" distB="0" distL="0" distR="0" wp14:anchorId="30FB3FAE" wp14:editId="1E928573">
            <wp:extent cx="5464836" cy="8748000"/>
            <wp:effectExtent l="0" t="0" r="2540" b="0"/>
            <wp:docPr id="3" name="Picture 3" descr="C:\Users\brassnavy.manzunzu\Documents\Manuscripts\SAIMM paper\Review\Figure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assnavy.manzunzu\Documents\Manuscripts\SAIMM paper\Review\Figure 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64836" cy="8748000"/>
                    </a:xfrm>
                    <a:prstGeom prst="rect">
                      <a:avLst/>
                    </a:prstGeom>
                    <a:noFill/>
                    <a:ln>
                      <a:noFill/>
                    </a:ln>
                  </pic:spPr>
                </pic:pic>
              </a:graphicData>
            </a:graphic>
          </wp:inline>
        </w:drawing>
      </w:r>
    </w:p>
    <w:p w14:paraId="278A8A23" w14:textId="46C909EA" w:rsidR="00966ADD" w:rsidRPr="00927BAD" w:rsidRDefault="00966ADD" w:rsidP="00966ADD">
      <w:pPr>
        <w:pStyle w:val="Caption"/>
        <w:jc w:val="both"/>
        <w:rPr>
          <w:rFonts w:cs="Times New Roman"/>
          <w:color w:val="auto"/>
          <w:sz w:val="20"/>
          <w:szCs w:val="20"/>
        </w:rPr>
      </w:pPr>
      <w:r w:rsidRPr="00927BAD">
        <w:rPr>
          <w:rFonts w:cs="Times New Roman"/>
          <w:color w:val="auto"/>
          <w:sz w:val="20"/>
          <w:szCs w:val="20"/>
        </w:rPr>
        <w:t xml:space="preserve">Figure </w:t>
      </w:r>
      <w:bookmarkEnd w:id="33"/>
      <w:bookmarkEnd w:id="34"/>
      <w:r w:rsidR="00F10700">
        <w:rPr>
          <w:rFonts w:cs="Times New Roman"/>
          <w:color w:val="auto"/>
          <w:sz w:val="20"/>
          <w:szCs w:val="20"/>
        </w:rPr>
        <w:t>8</w:t>
      </w:r>
      <w:r w:rsidRPr="00927BAD">
        <w:rPr>
          <w:rFonts w:cs="Times New Roman"/>
          <w:color w:val="auto"/>
          <w:sz w:val="20"/>
          <w:szCs w:val="20"/>
        </w:rPr>
        <w:t>:</w:t>
      </w:r>
      <w:r w:rsidRPr="00927BAD">
        <w:rPr>
          <w:rFonts w:cs="Times New Roman"/>
          <w:b w:val="0"/>
          <w:color w:val="auto"/>
          <w:sz w:val="20"/>
          <w:szCs w:val="20"/>
        </w:rPr>
        <w:t xml:space="preserve"> Inter-event terms, also referred to as the mean residual, for the 10 GMPEs for T= 2.0s spectral period.</w:t>
      </w:r>
      <w:bookmarkEnd w:id="35"/>
    </w:p>
    <w:p w14:paraId="2B40F222" w14:textId="77777777" w:rsidR="004C5428" w:rsidRPr="00927BAD" w:rsidRDefault="004C5428" w:rsidP="00DA1B47">
      <w:pPr>
        <w:autoSpaceDE w:val="0"/>
        <w:autoSpaceDN w:val="0"/>
        <w:adjustRightInd w:val="0"/>
        <w:spacing w:line="240" w:lineRule="auto"/>
        <w:jc w:val="both"/>
        <w:rPr>
          <w:rFonts w:cs="Times New Roman"/>
          <w:sz w:val="20"/>
          <w:szCs w:val="20"/>
          <w:lang w:eastAsia="en-GB"/>
        </w:rPr>
        <w:sectPr w:rsidR="004C5428" w:rsidRPr="00927BAD" w:rsidSect="000878A1">
          <w:pgSz w:w="11907" w:h="16840" w:code="9"/>
          <w:pgMar w:top="1134" w:right="1134" w:bottom="851" w:left="1134" w:header="567" w:footer="567" w:gutter="0"/>
          <w:cols w:space="720"/>
          <w:docGrid w:linePitch="299"/>
        </w:sectPr>
      </w:pPr>
    </w:p>
    <w:p w14:paraId="7595D645" w14:textId="0FCA33E9" w:rsidR="004C5428" w:rsidRPr="00927BAD" w:rsidRDefault="004C5428" w:rsidP="00C9156C">
      <w:pPr>
        <w:autoSpaceDE w:val="0"/>
        <w:autoSpaceDN w:val="0"/>
        <w:adjustRightInd w:val="0"/>
        <w:spacing w:line="240" w:lineRule="auto"/>
        <w:ind w:firstLine="720"/>
        <w:jc w:val="both"/>
        <w:rPr>
          <w:rFonts w:cs="Times New Roman"/>
          <w:sz w:val="20"/>
          <w:szCs w:val="20"/>
          <w:lang w:eastAsia="en-GB"/>
        </w:rPr>
      </w:pPr>
      <w:r w:rsidRPr="00927BAD">
        <w:rPr>
          <w:rFonts w:cs="Times New Roman"/>
          <w:sz w:val="20"/>
          <w:szCs w:val="20"/>
          <w:lang w:eastAsia="en-GB"/>
        </w:rPr>
        <w:lastRenderedPageBreak/>
        <w:t xml:space="preserve">Negative residuals </w:t>
      </w:r>
      <w:r w:rsidR="00FC79AD" w:rsidRPr="00927BAD">
        <w:rPr>
          <w:rFonts w:cs="Times New Roman"/>
          <w:sz w:val="20"/>
          <w:szCs w:val="20"/>
          <w:lang w:eastAsia="en-GB"/>
        </w:rPr>
        <w:t xml:space="preserve">are obtained where </w:t>
      </w:r>
      <w:r w:rsidRPr="00927BAD">
        <w:rPr>
          <w:rFonts w:cs="Times New Roman"/>
          <w:sz w:val="20"/>
          <w:szCs w:val="20"/>
          <w:lang w:eastAsia="en-GB"/>
        </w:rPr>
        <w:t>the GMPEs overestimate</w:t>
      </w:r>
      <w:r w:rsidR="00FC79AD" w:rsidRPr="00927BAD">
        <w:rPr>
          <w:rFonts w:cs="Times New Roman"/>
          <w:sz w:val="20"/>
          <w:szCs w:val="20"/>
          <w:lang w:eastAsia="en-GB"/>
        </w:rPr>
        <w:t xml:space="preserve"> the ground motion</w:t>
      </w:r>
      <w:r w:rsidRPr="00927BAD">
        <w:rPr>
          <w:rFonts w:cs="Times New Roman"/>
          <w:sz w:val="20"/>
          <w:szCs w:val="20"/>
          <w:lang w:eastAsia="en-GB"/>
        </w:rPr>
        <w:t xml:space="preserve"> </w:t>
      </w:r>
      <w:r w:rsidR="00FC79AD" w:rsidRPr="00927BAD">
        <w:rPr>
          <w:rFonts w:cs="Times New Roman"/>
          <w:sz w:val="20"/>
          <w:szCs w:val="20"/>
          <w:lang w:eastAsia="en-GB"/>
        </w:rPr>
        <w:t xml:space="preserve">and </w:t>
      </w:r>
      <w:r w:rsidRPr="00927BAD">
        <w:rPr>
          <w:rFonts w:cs="Times New Roman"/>
          <w:sz w:val="20"/>
          <w:szCs w:val="20"/>
          <w:lang w:eastAsia="en-GB"/>
        </w:rPr>
        <w:t>underestimate</w:t>
      </w:r>
      <w:r w:rsidR="00FC79AD" w:rsidRPr="00927BAD">
        <w:rPr>
          <w:rFonts w:cs="Times New Roman"/>
          <w:sz w:val="20"/>
          <w:szCs w:val="20"/>
          <w:lang w:eastAsia="en-GB"/>
        </w:rPr>
        <w:t xml:space="preserve"> where they are positive</w:t>
      </w:r>
      <w:r w:rsidRPr="00927BAD">
        <w:rPr>
          <w:rFonts w:cs="Times New Roman"/>
          <w:sz w:val="20"/>
          <w:szCs w:val="20"/>
          <w:lang w:eastAsia="en-GB"/>
        </w:rPr>
        <w:t xml:space="preserve">. In </w:t>
      </w:r>
      <w:r w:rsidR="00D813C7" w:rsidRPr="00927BAD">
        <w:rPr>
          <w:rFonts w:cs="Times New Roman"/>
          <w:sz w:val="20"/>
          <w:szCs w:val="20"/>
          <w:lang w:eastAsia="en-GB"/>
        </w:rPr>
        <w:t>general,</w:t>
      </w:r>
      <w:r w:rsidRPr="00927BAD">
        <w:rPr>
          <w:rFonts w:cs="Times New Roman"/>
          <w:sz w:val="20"/>
          <w:szCs w:val="20"/>
          <w:lang w:eastAsia="en-GB"/>
        </w:rPr>
        <w:t xml:space="preserve"> all the GMPEs </w:t>
      </w:r>
      <w:r w:rsidR="00D813C7" w:rsidRPr="00927BAD">
        <w:rPr>
          <w:rFonts w:cs="Times New Roman"/>
          <w:sz w:val="20"/>
          <w:szCs w:val="20"/>
          <w:lang w:eastAsia="en-GB"/>
        </w:rPr>
        <w:t>overestimate</w:t>
      </w:r>
      <w:r w:rsidRPr="00927BAD">
        <w:rPr>
          <w:rFonts w:cs="Times New Roman"/>
          <w:sz w:val="20"/>
          <w:szCs w:val="20"/>
          <w:lang w:eastAsia="en-GB"/>
        </w:rPr>
        <w:t xml:space="preserve"> the ground motion parameters. </w:t>
      </w:r>
      <w:r w:rsidR="00F10700">
        <w:rPr>
          <w:rFonts w:cs="Times New Roman"/>
          <w:sz w:val="20"/>
          <w:szCs w:val="20"/>
          <w:lang w:eastAsia="en-GB"/>
        </w:rPr>
        <w:t>Us</w:t>
      </w:r>
      <w:r w:rsidR="00DF426A">
        <w:rPr>
          <w:rFonts w:cs="Times New Roman"/>
          <w:sz w:val="20"/>
          <w:szCs w:val="20"/>
          <w:lang w:eastAsia="en-GB"/>
        </w:rPr>
        <w:t>ing</w:t>
      </w:r>
      <w:r w:rsidRPr="00927BAD">
        <w:rPr>
          <w:rFonts w:cs="Times New Roman"/>
          <w:sz w:val="20"/>
          <w:szCs w:val="20"/>
          <w:lang w:eastAsia="en-GB"/>
        </w:rPr>
        <w:t xml:space="preserve"> these GMPEs will result in hazard values that are slightly higher</w:t>
      </w:r>
      <w:r w:rsidR="00FC79AD" w:rsidRPr="00927BAD">
        <w:rPr>
          <w:rFonts w:cs="Times New Roman"/>
          <w:sz w:val="20"/>
          <w:szCs w:val="20"/>
          <w:lang w:eastAsia="en-GB"/>
        </w:rPr>
        <w:t xml:space="preserve"> than observed values</w:t>
      </w:r>
      <w:r w:rsidRPr="00927BAD">
        <w:rPr>
          <w:rFonts w:cs="Times New Roman"/>
          <w:sz w:val="20"/>
          <w:szCs w:val="20"/>
          <w:lang w:eastAsia="en-GB"/>
        </w:rPr>
        <w:t xml:space="preserve">. Much of the </w:t>
      </w:r>
      <w:r w:rsidR="00FC79AD" w:rsidRPr="00927BAD">
        <w:rPr>
          <w:rFonts w:cs="Times New Roman"/>
          <w:sz w:val="20"/>
          <w:szCs w:val="20"/>
          <w:lang w:eastAsia="en-GB"/>
        </w:rPr>
        <w:t xml:space="preserve">observed </w:t>
      </w:r>
      <w:r w:rsidRPr="00927BAD">
        <w:rPr>
          <w:rFonts w:cs="Times New Roman"/>
          <w:sz w:val="20"/>
          <w:szCs w:val="20"/>
          <w:lang w:eastAsia="en-GB"/>
        </w:rPr>
        <w:t>scatter is at lower magnitudes and larger distances</w:t>
      </w:r>
      <w:r w:rsidR="00DF426A">
        <w:rPr>
          <w:rFonts w:cs="Times New Roman"/>
          <w:sz w:val="20"/>
          <w:szCs w:val="20"/>
          <w:lang w:eastAsia="en-GB"/>
        </w:rPr>
        <w:t>,</w:t>
      </w:r>
      <w:r w:rsidRPr="00927BAD">
        <w:rPr>
          <w:rFonts w:cs="Times New Roman"/>
          <w:sz w:val="20"/>
          <w:szCs w:val="20"/>
          <w:lang w:eastAsia="en-GB"/>
        </w:rPr>
        <w:t xml:space="preserve"> meaning small events recorded at longer hypocentral distances </w:t>
      </w:r>
      <w:r w:rsidR="00DF426A">
        <w:rPr>
          <w:rFonts w:cs="Times New Roman"/>
          <w:sz w:val="20"/>
          <w:szCs w:val="20"/>
          <w:lang w:eastAsia="en-GB"/>
        </w:rPr>
        <w:t>resulted in</w:t>
      </w:r>
      <w:r w:rsidR="00DF426A" w:rsidRPr="00927BAD">
        <w:rPr>
          <w:rFonts w:cs="Times New Roman"/>
          <w:sz w:val="20"/>
          <w:szCs w:val="20"/>
          <w:lang w:eastAsia="en-GB"/>
        </w:rPr>
        <w:t xml:space="preserve"> </w:t>
      </w:r>
      <w:r w:rsidRPr="00927BAD">
        <w:rPr>
          <w:rFonts w:cs="Times New Roman"/>
          <w:sz w:val="20"/>
          <w:szCs w:val="20"/>
          <w:lang w:eastAsia="en-GB"/>
        </w:rPr>
        <w:t xml:space="preserve">large errors. </w:t>
      </w:r>
      <w:r w:rsidR="00DF426A">
        <w:rPr>
          <w:rFonts w:cs="Times New Roman"/>
          <w:sz w:val="20"/>
          <w:szCs w:val="20"/>
          <w:lang w:eastAsia="en-GB"/>
        </w:rPr>
        <w:t>M</w:t>
      </w:r>
      <w:r w:rsidRPr="00927BAD">
        <w:rPr>
          <w:rFonts w:cs="Times New Roman"/>
          <w:sz w:val="20"/>
          <w:szCs w:val="20"/>
          <w:lang w:eastAsia="en-GB"/>
        </w:rPr>
        <w:t>ining</w:t>
      </w:r>
      <w:r w:rsidR="00DF426A">
        <w:rPr>
          <w:rFonts w:cs="Times New Roman"/>
          <w:sz w:val="20"/>
          <w:szCs w:val="20"/>
          <w:lang w:eastAsia="en-GB"/>
        </w:rPr>
        <w:t>-</w:t>
      </w:r>
      <w:r w:rsidRPr="00927BAD">
        <w:rPr>
          <w:rFonts w:cs="Times New Roman"/>
          <w:sz w:val="20"/>
          <w:szCs w:val="20"/>
          <w:lang w:eastAsia="en-GB"/>
        </w:rPr>
        <w:t>related seismicity attenuates fast</w:t>
      </w:r>
      <w:r w:rsidR="00E7357B">
        <w:rPr>
          <w:rFonts w:cs="Times New Roman"/>
          <w:sz w:val="20"/>
          <w:szCs w:val="20"/>
          <w:lang w:eastAsia="en-GB"/>
        </w:rPr>
        <w:t>, and</w:t>
      </w:r>
      <w:r w:rsidRPr="00927BAD">
        <w:rPr>
          <w:rFonts w:cs="Times New Roman"/>
          <w:sz w:val="20"/>
          <w:szCs w:val="20"/>
          <w:lang w:eastAsia="en-GB"/>
        </w:rPr>
        <w:t xml:space="preserve"> with increasing hypocentral distance can also </w:t>
      </w:r>
      <w:r w:rsidR="00E7357B">
        <w:rPr>
          <w:rFonts w:cs="Times New Roman"/>
          <w:sz w:val="20"/>
          <w:szCs w:val="20"/>
          <w:lang w:eastAsia="en-GB"/>
        </w:rPr>
        <w:t>contributed</w:t>
      </w:r>
      <w:r w:rsidRPr="00927BAD">
        <w:rPr>
          <w:rFonts w:cs="Times New Roman"/>
          <w:sz w:val="20"/>
          <w:szCs w:val="20"/>
          <w:lang w:eastAsia="en-GB"/>
        </w:rPr>
        <w:t xml:space="preserve">. The selected GMPEs cover a large spectrum and will represent the uncertainty in GMPEs for our region. </w:t>
      </w:r>
    </w:p>
    <w:p w14:paraId="1049FFB1" w14:textId="559E1833" w:rsidR="004C5428" w:rsidRPr="00927BAD" w:rsidRDefault="00FC79AD" w:rsidP="00C9156C">
      <w:pPr>
        <w:autoSpaceDE w:val="0"/>
        <w:autoSpaceDN w:val="0"/>
        <w:adjustRightInd w:val="0"/>
        <w:spacing w:line="240" w:lineRule="auto"/>
        <w:ind w:firstLine="720"/>
        <w:jc w:val="both"/>
        <w:rPr>
          <w:rFonts w:cs="Times New Roman"/>
          <w:sz w:val="20"/>
          <w:szCs w:val="20"/>
          <w:lang w:eastAsia="en-GB"/>
        </w:rPr>
      </w:pPr>
      <w:r w:rsidRPr="00927BAD">
        <w:rPr>
          <w:rFonts w:cs="Times New Roman"/>
          <w:sz w:val="20"/>
          <w:szCs w:val="20"/>
          <w:lang w:eastAsia="en-GB"/>
        </w:rPr>
        <w:t>L</w:t>
      </w:r>
      <w:r w:rsidR="004C5428" w:rsidRPr="00927BAD">
        <w:rPr>
          <w:rFonts w:cs="Times New Roman"/>
          <w:sz w:val="20"/>
          <w:szCs w:val="20"/>
          <w:lang w:eastAsia="en-GB"/>
        </w:rPr>
        <w:t>arge variation</w:t>
      </w:r>
      <w:r w:rsidR="00E7357B">
        <w:rPr>
          <w:rFonts w:cs="Times New Roman"/>
          <w:sz w:val="20"/>
          <w:szCs w:val="20"/>
          <w:lang w:eastAsia="en-GB"/>
        </w:rPr>
        <w:t>s</w:t>
      </w:r>
      <w:r w:rsidR="004C5428" w:rsidRPr="00927BAD">
        <w:rPr>
          <w:rFonts w:cs="Times New Roman"/>
          <w:sz w:val="20"/>
          <w:szCs w:val="20"/>
          <w:lang w:eastAsia="en-GB"/>
        </w:rPr>
        <w:t xml:space="preserve"> of </w:t>
      </w:r>
      <w:r w:rsidRPr="00927BAD">
        <w:rPr>
          <w:rFonts w:cs="Times New Roman"/>
          <w:sz w:val="20"/>
          <w:szCs w:val="20"/>
          <w:lang w:eastAsia="en-GB"/>
        </w:rPr>
        <w:t xml:space="preserve">the residuals are observed for </w:t>
      </w:r>
      <w:r w:rsidR="004C5428" w:rsidRPr="00927BAD">
        <w:rPr>
          <w:rFonts w:cs="Times New Roman"/>
          <w:sz w:val="20"/>
          <w:szCs w:val="20"/>
          <w:lang w:eastAsia="en-GB"/>
        </w:rPr>
        <w:t>the Atkinson and Boore (2006) model</w:t>
      </w:r>
      <w:r w:rsidR="00E7357B">
        <w:rPr>
          <w:rFonts w:cs="Times New Roman"/>
          <w:sz w:val="20"/>
          <w:szCs w:val="20"/>
          <w:lang w:eastAsia="en-GB"/>
        </w:rPr>
        <w:t>,</w:t>
      </w:r>
      <w:r w:rsidR="004C5428" w:rsidRPr="00927BAD">
        <w:rPr>
          <w:rFonts w:cs="Times New Roman"/>
          <w:sz w:val="20"/>
          <w:szCs w:val="20"/>
          <w:lang w:eastAsia="en-GB"/>
        </w:rPr>
        <w:t xml:space="preserve"> </w:t>
      </w:r>
      <w:r w:rsidR="00F10700">
        <w:rPr>
          <w:rFonts w:cs="Times New Roman"/>
          <w:sz w:val="20"/>
          <w:szCs w:val="20"/>
          <w:lang w:eastAsia="en-GB"/>
        </w:rPr>
        <w:t xml:space="preserve">which </w:t>
      </w:r>
      <w:r w:rsidR="00F10700" w:rsidRPr="00927BAD">
        <w:rPr>
          <w:rFonts w:cs="Times New Roman"/>
          <w:sz w:val="20"/>
          <w:szCs w:val="20"/>
          <w:lang w:eastAsia="en-GB"/>
        </w:rPr>
        <w:t>appears</w:t>
      </w:r>
      <w:r w:rsidR="004C5428" w:rsidRPr="00927BAD">
        <w:rPr>
          <w:rFonts w:cs="Times New Roman"/>
          <w:sz w:val="20"/>
          <w:szCs w:val="20"/>
          <w:lang w:eastAsia="en-GB"/>
        </w:rPr>
        <w:t xml:space="preserve"> to underestimate ground motion at short period</w:t>
      </w:r>
      <w:r w:rsidR="00E7357B">
        <w:rPr>
          <w:rFonts w:cs="Times New Roman"/>
          <w:sz w:val="20"/>
          <w:szCs w:val="20"/>
          <w:lang w:eastAsia="en-GB"/>
        </w:rPr>
        <w:t>s</w:t>
      </w:r>
      <w:r w:rsidR="004C5428" w:rsidRPr="00927BAD">
        <w:rPr>
          <w:rFonts w:cs="Times New Roman"/>
          <w:sz w:val="20"/>
          <w:szCs w:val="20"/>
          <w:lang w:eastAsia="en-GB"/>
        </w:rPr>
        <w:t xml:space="preserve"> but overestimates at long period</w:t>
      </w:r>
      <w:r w:rsidR="00E7357B">
        <w:rPr>
          <w:rFonts w:cs="Times New Roman"/>
          <w:sz w:val="20"/>
          <w:szCs w:val="20"/>
          <w:lang w:eastAsia="en-GB"/>
        </w:rPr>
        <w:t>s</w:t>
      </w:r>
      <w:r w:rsidR="004C5428" w:rsidRPr="00927BAD">
        <w:rPr>
          <w:rFonts w:cs="Times New Roman"/>
          <w:sz w:val="20"/>
          <w:szCs w:val="20"/>
          <w:lang w:eastAsia="en-GB"/>
        </w:rPr>
        <w:t xml:space="preserve"> at all distances. Considering the trends observed </w:t>
      </w:r>
      <w:r w:rsidR="00E7357B">
        <w:rPr>
          <w:rFonts w:cs="Times New Roman"/>
          <w:sz w:val="20"/>
          <w:szCs w:val="20"/>
          <w:lang w:eastAsia="en-GB"/>
        </w:rPr>
        <w:t>by</w:t>
      </w:r>
      <w:r w:rsidR="00E7357B" w:rsidRPr="00927BAD">
        <w:rPr>
          <w:rFonts w:cs="Times New Roman"/>
          <w:sz w:val="20"/>
          <w:szCs w:val="20"/>
          <w:lang w:eastAsia="en-GB"/>
        </w:rPr>
        <w:t xml:space="preserve"> </w:t>
      </w:r>
      <w:r w:rsidR="004C5428" w:rsidRPr="00927BAD">
        <w:rPr>
          <w:rFonts w:cs="Times New Roman"/>
          <w:sz w:val="20"/>
          <w:szCs w:val="20"/>
          <w:lang w:eastAsia="en-GB"/>
        </w:rPr>
        <w:t>Campbell (2003)</w:t>
      </w:r>
      <w:r w:rsidRPr="00927BAD">
        <w:rPr>
          <w:rFonts w:cs="Times New Roman"/>
          <w:sz w:val="20"/>
          <w:szCs w:val="20"/>
          <w:lang w:eastAsia="en-GB"/>
        </w:rPr>
        <w:t>,</w:t>
      </w:r>
      <w:r w:rsidR="004C5428" w:rsidRPr="00927BAD">
        <w:rPr>
          <w:rFonts w:cs="Times New Roman"/>
          <w:sz w:val="20"/>
          <w:szCs w:val="20"/>
          <w:lang w:eastAsia="en-GB"/>
        </w:rPr>
        <w:t xml:space="preserve"> Toro et al. (2002)</w:t>
      </w:r>
      <w:r w:rsidRPr="00927BAD">
        <w:rPr>
          <w:rFonts w:cs="Times New Roman"/>
          <w:sz w:val="20"/>
          <w:szCs w:val="20"/>
          <w:lang w:eastAsia="en-GB"/>
        </w:rPr>
        <w:t>,</w:t>
      </w:r>
      <w:r w:rsidR="004C5428" w:rsidRPr="00927BAD">
        <w:rPr>
          <w:rFonts w:cs="Times New Roman"/>
          <w:sz w:val="20"/>
          <w:szCs w:val="20"/>
          <w:lang w:eastAsia="en-GB"/>
        </w:rPr>
        <w:t xml:space="preserve"> Boore and Atkinson (2008)</w:t>
      </w:r>
      <w:r w:rsidRPr="00927BAD">
        <w:rPr>
          <w:rFonts w:cs="Times New Roman"/>
          <w:sz w:val="20"/>
          <w:szCs w:val="20"/>
          <w:lang w:eastAsia="en-GB"/>
        </w:rPr>
        <w:t>,</w:t>
      </w:r>
      <w:r w:rsidR="004C5428" w:rsidRPr="00927BAD">
        <w:rPr>
          <w:rFonts w:cs="Times New Roman"/>
          <w:sz w:val="20"/>
          <w:szCs w:val="20"/>
          <w:lang w:eastAsia="en-GB"/>
        </w:rPr>
        <w:t xml:space="preserve"> Akkar et al. (2014)</w:t>
      </w:r>
      <w:r w:rsidRPr="00927BAD">
        <w:rPr>
          <w:rFonts w:cs="Times New Roman"/>
          <w:sz w:val="20"/>
          <w:szCs w:val="20"/>
          <w:lang w:eastAsia="en-GB"/>
        </w:rPr>
        <w:t>,</w:t>
      </w:r>
      <w:r w:rsidR="004C5428" w:rsidRPr="00927BAD">
        <w:rPr>
          <w:rFonts w:cs="Times New Roman"/>
          <w:sz w:val="20"/>
          <w:szCs w:val="20"/>
          <w:lang w:eastAsia="en-GB"/>
        </w:rPr>
        <w:t xml:space="preserve"> Rietbrock et al. (2013)</w:t>
      </w:r>
      <w:r w:rsidR="00E7357B">
        <w:rPr>
          <w:rFonts w:cs="Times New Roman"/>
          <w:sz w:val="20"/>
          <w:szCs w:val="20"/>
          <w:lang w:eastAsia="en-GB"/>
        </w:rPr>
        <w:t>,</w:t>
      </w:r>
      <w:r w:rsidRPr="00927BAD">
        <w:rPr>
          <w:rFonts w:cs="Times New Roman"/>
          <w:sz w:val="20"/>
          <w:szCs w:val="20"/>
          <w:lang w:eastAsia="en-GB"/>
        </w:rPr>
        <w:t xml:space="preserve"> and</w:t>
      </w:r>
      <w:r w:rsidR="004C5428" w:rsidRPr="00927BAD">
        <w:rPr>
          <w:rFonts w:cs="Times New Roman"/>
          <w:sz w:val="20"/>
          <w:szCs w:val="20"/>
          <w:lang w:eastAsia="en-GB"/>
        </w:rPr>
        <w:t xml:space="preserve"> Atkinson and Boore (2006) models consistently appear to match observed data better than the other GMPEs. Akkar et al</w:t>
      </w:r>
      <w:r w:rsidR="00E7357B">
        <w:rPr>
          <w:rFonts w:cs="Times New Roman"/>
          <w:sz w:val="20"/>
          <w:szCs w:val="20"/>
          <w:lang w:eastAsia="en-GB"/>
        </w:rPr>
        <w:t>.</w:t>
      </w:r>
      <w:r w:rsidR="004C5428" w:rsidRPr="00927BAD">
        <w:rPr>
          <w:rFonts w:cs="Times New Roman"/>
          <w:sz w:val="20"/>
          <w:szCs w:val="20"/>
          <w:lang w:eastAsia="en-GB"/>
        </w:rPr>
        <w:t xml:space="preserve"> (</w:t>
      </w:r>
      <w:r w:rsidR="00F10700" w:rsidRPr="00927BAD">
        <w:rPr>
          <w:rFonts w:cs="Times New Roman"/>
          <w:sz w:val="20"/>
          <w:szCs w:val="20"/>
          <w:lang w:eastAsia="en-GB"/>
        </w:rPr>
        <w:t>2014) over</w:t>
      </w:r>
      <w:r w:rsidR="004C5428" w:rsidRPr="00927BAD">
        <w:rPr>
          <w:rFonts w:cs="Times New Roman"/>
          <w:sz w:val="20"/>
          <w:szCs w:val="20"/>
          <w:lang w:eastAsia="en-GB"/>
        </w:rPr>
        <w:t xml:space="preserve"> predicts for all spectral periods. Pezeshk et al., (2011)</w:t>
      </w:r>
      <w:r w:rsidR="009E11B0">
        <w:rPr>
          <w:rFonts w:cs="Times New Roman"/>
          <w:sz w:val="20"/>
          <w:szCs w:val="20"/>
          <w:lang w:eastAsia="en-GB"/>
        </w:rPr>
        <w:t xml:space="preserve"> tend to</w:t>
      </w:r>
      <w:r w:rsidR="004C5428" w:rsidRPr="00927BAD">
        <w:rPr>
          <w:rFonts w:cs="Times New Roman"/>
          <w:sz w:val="20"/>
          <w:szCs w:val="20"/>
          <w:lang w:eastAsia="en-GB"/>
        </w:rPr>
        <w:t xml:space="preserve"> over predicts for short periods and under predicts for long</w:t>
      </w:r>
      <w:r w:rsidR="009E11B0">
        <w:rPr>
          <w:rFonts w:cs="Times New Roman"/>
          <w:sz w:val="20"/>
          <w:szCs w:val="20"/>
          <w:lang w:eastAsia="en-GB"/>
        </w:rPr>
        <w:t>er</w:t>
      </w:r>
      <w:r w:rsidR="004C5428" w:rsidRPr="00927BAD">
        <w:rPr>
          <w:rFonts w:cs="Times New Roman"/>
          <w:sz w:val="20"/>
          <w:szCs w:val="20"/>
          <w:lang w:eastAsia="en-GB"/>
        </w:rPr>
        <w:t xml:space="preserve"> periods. Variations in residuals might be </w:t>
      </w:r>
      <w:r w:rsidR="009E11B0">
        <w:rPr>
          <w:rFonts w:cs="Times New Roman"/>
          <w:sz w:val="20"/>
          <w:szCs w:val="20"/>
          <w:lang w:eastAsia="en-GB"/>
        </w:rPr>
        <w:t xml:space="preserve">because </w:t>
      </w:r>
      <w:r w:rsidRPr="00927BAD">
        <w:rPr>
          <w:rFonts w:cs="Times New Roman"/>
          <w:sz w:val="20"/>
          <w:szCs w:val="20"/>
          <w:lang w:eastAsia="en-GB"/>
        </w:rPr>
        <w:t xml:space="preserve">the </w:t>
      </w:r>
      <w:r w:rsidR="004C5428" w:rsidRPr="00927BAD">
        <w:rPr>
          <w:rFonts w:cs="Times New Roman"/>
          <w:sz w:val="20"/>
          <w:szCs w:val="20"/>
          <w:lang w:eastAsia="en-GB"/>
        </w:rPr>
        <w:t xml:space="preserve">GMPEs </w:t>
      </w:r>
      <w:r w:rsidRPr="00927BAD">
        <w:rPr>
          <w:rFonts w:cs="Times New Roman"/>
          <w:sz w:val="20"/>
          <w:szCs w:val="20"/>
          <w:lang w:eastAsia="en-GB"/>
        </w:rPr>
        <w:t xml:space="preserve">were </w:t>
      </w:r>
      <w:r w:rsidR="004C5428" w:rsidRPr="00927BAD">
        <w:rPr>
          <w:rFonts w:cs="Times New Roman"/>
          <w:sz w:val="20"/>
          <w:szCs w:val="20"/>
          <w:lang w:eastAsia="en-GB"/>
        </w:rPr>
        <w:t xml:space="preserve">used outside their derived magnitude range since most </w:t>
      </w:r>
      <w:r w:rsidR="009E11B0">
        <w:rPr>
          <w:rFonts w:cs="Times New Roman"/>
          <w:sz w:val="20"/>
          <w:szCs w:val="20"/>
          <w:lang w:eastAsia="en-GB"/>
        </w:rPr>
        <w:t xml:space="preserve">of </w:t>
      </w:r>
      <w:r w:rsidR="004C5428" w:rsidRPr="00927BAD">
        <w:rPr>
          <w:rFonts w:cs="Times New Roman"/>
          <w:sz w:val="20"/>
          <w:szCs w:val="20"/>
          <w:lang w:eastAsia="en-GB"/>
        </w:rPr>
        <w:t>the events used in this study fall outside the applicability</w:t>
      </w:r>
      <w:r w:rsidR="009E11B0">
        <w:rPr>
          <w:rFonts w:cs="Times New Roman"/>
          <w:sz w:val="20"/>
          <w:szCs w:val="20"/>
          <w:lang w:eastAsia="en-GB"/>
        </w:rPr>
        <w:t xml:space="preserve"> range</w:t>
      </w:r>
      <w:r w:rsidR="004C5428" w:rsidRPr="00927BAD">
        <w:rPr>
          <w:rFonts w:cs="Times New Roman"/>
          <w:sz w:val="20"/>
          <w:szCs w:val="20"/>
          <w:lang w:eastAsia="en-GB"/>
        </w:rPr>
        <w:t xml:space="preserve"> of </w:t>
      </w:r>
      <w:r w:rsidR="00F10700" w:rsidRPr="00927BAD">
        <w:rPr>
          <w:rFonts w:cs="Times New Roman"/>
          <w:sz w:val="20"/>
          <w:szCs w:val="20"/>
          <w:lang w:eastAsia="en-GB"/>
        </w:rPr>
        <w:t>most GMPEs</w:t>
      </w:r>
      <w:r w:rsidR="004C5428" w:rsidRPr="00927BAD">
        <w:rPr>
          <w:rFonts w:cs="Times New Roman"/>
          <w:sz w:val="20"/>
          <w:szCs w:val="20"/>
          <w:lang w:eastAsia="en-GB"/>
        </w:rPr>
        <w:t xml:space="preserve">. </w:t>
      </w:r>
      <w:r w:rsidRPr="00927BAD">
        <w:rPr>
          <w:rFonts w:cs="Times New Roman"/>
          <w:sz w:val="20"/>
          <w:szCs w:val="20"/>
          <w:lang w:eastAsia="en-GB"/>
        </w:rPr>
        <w:t>Only t</w:t>
      </w:r>
      <w:r w:rsidR="004C5428" w:rsidRPr="00927BAD">
        <w:rPr>
          <w:rFonts w:cs="Times New Roman"/>
          <w:sz w:val="20"/>
          <w:szCs w:val="20"/>
          <w:lang w:eastAsia="en-GB"/>
        </w:rPr>
        <w:t xml:space="preserve">he Atkinson (2015) model for induced seismicity was derived for short distances (less than 40 km) and can only be used for induced seismic sources.  </w:t>
      </w:r>
    </w:p>
    <w:p w14:paraId="01E2EF10" w14:textId="77777777" w:rsidR="004C5428" w:rsidRPr="00927BAD" w:rsidRDefault="004C5428" w:rsidP="00C9156C">
      <w:pPr>
        <w:pStyle w:val="Heading2"/>
        <w:numPr>
          <w:ilvl w:val="0"/>
          <w:numId w:val="0"/>
        </w:numPr>
        <w:spacing w:line="240" w:lineRule="auto"/>
        <w:rPr>
          <w:rFonts w:ascii="Times New Roman" w:hAnsi="Times New Roman" w:cs="Times New Roman"/>
          <w:sz w:val="20"/>
          <w:szCs w:val="20"/>
        </w:rPr>
      </w:pPr>
      <w:bookmarkStart w:id="36" w:name="_Toc69136363"/>
      <w:r w:rsidRPr="00927BAD">
        <w:rPr>
          <w:rFonts w:ascii="Times New Roman" w:hAnsi="Times New Roman" w:cs="Times New Roman"/>
          <w:sz w:val="20"/>
          <w:szCs w:val="20"/>
        </w:rPr>
        <w:t>Comparison of the Orkney earthquake strong-motion data with pre-selected GMPEs</w:t>
      </w:r>
      <w:bookmarkEnd w:id="36"/>
    </w:p>
    <w:p w14:paraId="79F9F068" w14:textId="611A791A" w:rsidR="004C5428" w:rsidRPr="00927BAD" w:rsidRDefault="004C5428" w:rsidP="00C9156C">
      <w:pPr>
        <w:spacing w:line="240" w:lineRule="auto"/>
        <w:ind w:firstLine="720"/>
        <w:jc w:val="both"/>
        <w:rPr>
          <w:rFonts w:cs="Times New Roman"/>
          <w:sz w:val="20"/>
          <w:szCs w:val="20"/>
          <w:lang w:val="en-ZA"/>
        </w:rPr>
      </w:pPr>
      <w:r w:rsidRPr="00927BAD">
        <w:rPr>
          <w:rFonts w:cs="Times New Roman"/>
          <w:sz w:val="20"/>
          <w:szCs w:val="20"/>
        </w:rPr>
        <w:t>The strike-slip M</w:t>
      </w:r>
      <w:r w:rsidRPr="00927BAD">
        <w:rPr>
          <w:rFonts w:cs="Times New Roman"/>
          <w:sz w:val="20"/>
          <w:szCs w:val="20"/>
          <w:vertAlign w:val="subscript"/>
        </w:rPr>
        <w:t>W</w:t>
      </w:r>
      <w:r w:rsidRPr="00927BAD">
        <w:rPr>
          <w:rFonts w:cs="Times New Roman"/>
          <w:sz w:val="20"/>
          <w:szCs w:val="20"/>
        </w:rPr>
        <w:t xml:space="preserve"> 5.5 Orkney earthquake of 5 August 2014, which occurred in the North West Province, South Africa</w:t>
      </w:r>
      <w:r w:rsidR="0020600C">
        <w:rPr>
          <w:rFonts w:cs="Times New Roman"/>
          <w:sz w:val="20"/>
          <w:szCs w:val="20"/>
        </w:rPr>
        <w:t>,</w:t>
      </w:r>
      <w:r w:rsidRPr="00927BAD">
        <w:rPr>
          <w:rFonts w:cs="Times New Roman"/>
          <w:sz w:val="20"/>
          <w:szCs w:val="20"/>
        </w:rPr>
        <w:t xml:space="preserve"> at about 10:22 GMT</w:t>
      </w:r>
      <w:r w:rsidR="0020600C">
        <w:rPr>
          <w:rFonts w:cs="Times New Roman"/>
          <w:sz w:val="20"/>
          <w:szCs w:val="20"/>
        </w:rPr>
        <w:t>,</w:t>
      </w:r>
      <w:r w:rsidRPr="00927BAD">
        <w:rPr>
          <w:rFonts w:cs="Times New Roman"/>
          <w:sz w:val="20"/>
          <w:szCs w:val="20"/>
        </w:rPr>
        <w:t xml:space="preserve"> was recorded by the </w:t>
      </w:r>
      <w:r w:rsidRPr="00927BAD">
        <w:rPr>
          <w:rFonts w:cs="Times New Roman"/>
          <w:noProof/>
          <w:sz w:val="20"/>
          <w:szCs w:val="20"/>
        </w:rPr>
        <w:t>SANSN</w:t>
      </w:r>
      <w:r w:rsidRPr="00927BAD">
        <w:rPr>
          <w:rFonts w:cs="Times New Roman"/>
          <w:sz w:val="20"/>
          <w:szCs w:val="20"/>
        </w:rPr>
        <w:t xml:space="preserve"> </w:t>
      </w:r>
      <w:r w:rsidR="0020600C">
        <w:rPr>
          <w:rFonts w:cs="Times New Roman"/>
          <w:sz w:val="20"/>
          <w:szCs w:val="20"/>
        </w:rPr>
        <w:t>and</w:t>
      </w:r>
      <w:r w:rsidRPr="00927BAD">
        <w:rPr>
          <w:rFonts w:cs="Times New Roman"/>
          <w:sz w:val="20"/>
          <w:szCs w:val="20"/>
        </w:rPr>
        <w:t xml:space="preserve"> the cluster network in the mining regions. </w:t>
      </w:r>
      <w:r w:rsidR="0020600C">
        <w:rPr>
          <w:rFonts w:cs="Times New Roman"/>
          <w:sz w:val="20"/>
          <w:szCs w:val="20"/>
        </w:rPr>
        <w:t xml:space="preserve">The </w:t>
      </w:r>
      <w:r w:rsidR="0056415F" w:rsidRPr="00927BAD">
        <w:rPr>
          <w:rFonts w:cs="Times New Roman"/>
          <w:sz w:val="20"/>
          <w:szCs w:val="20"/>
        </w:rPr>
        <w:t xml:space="preserve">earthquake that falls within the range of magnitude values used in deriving most of the pre-selected GMPEs. Thus, we </w:t>
      </w:r>
      <w:r w:rsidR="0020600C">
        <w:rPr>
          <w:rFonts w:cs="Times New Roman"/>
          <w:sz w:val="20"/>
          <w:szCs w:val="20"/>
        </w:rPr>
        <w:t xml:space="preserve">separately </w:t>
      </w:r>
      <w:r w:rsidR="0056415F" w:rsidRPr="00927BAD">
        <w:rPr>
          <w:rFonts w:cs="Times New Roman"/>
          <w:sz w:val="20"/>
          <w:szCs w:val="20"/>
        </w:rPr>
        <w:t>compared its observed ground motion parameters</w:t>
      </w:r>
      <w:r w:rsidR="0020600C">
        <w:rPr>
          <w:rFonts w:cs="Times New Roman"/>
          <w:sz w:val="20"/>
          <w:szCs w:val="20"/>
        </w:rPr>
        <w:t>,</w:t>
      </w:r>
      <w:r w:rsidR="0056415F" w:rsidRPr="00927BAD">
        <w:rPr>
          <w:rFonts w:cs="Times New Roman"/>
          <w:sz w:val="20"/>
          <w:szCs w:val="20"/>
        </w:rPr>
        <w:t xml:space="preserve"> as recorded by the cluster network of stations, to the predicted </w:t>
      </w:r>
      <w:r w:rsidR="00F10700" w:rsidRPr="00927BAD">
        <w:rPr>
          <w:rFonts w:cs="Times New Roman"/>
          <w:sz w:val="20"/>
          <w:szCs w:val="20"/>
        </w:rPr>
        <w:t>values.</w:t>
      </w:r>
      <w:r w:rsidRPr="00927BAD">
        <w:rPr>
          <w:rFonts w:cs="Times New Roman"/>
          <w:sz w:val="20"/>
          <w:szCs w:val="20"/>
        </w:rPr>
        <w:t xml:space="preserve"> </w:t>
      </w:r>
      <w:r w:rsidR="0056415F" w:rsidRPr="00927BAD">
        <w:rPr>
          <w:rFonts w:cs="Times New Roman"/>
          <w:sz w:val="20"/>
          <w:szCs w:val="20"/>
        </w:rPr>
        <w:t xml:space="preserve">In </w:t>
      </w:r>
      <w:r w:rsidRPr="00927BAD">
        <w:rPr>
          <w:rFonts w:cs="Times New Roman"/>
          <w:sz w:val="20"/>
          <w:szCs w:val="20"/>
          <w:lang w:val="en-ZA"/>
        </w:rPr>
        <w:fldChar w:fldCharType="begin"/>
      </w:r>
      <w:r w:rsidRPr="00927BAD">
        <w:rPr>
          <w:rFonts w:cs="Times New Roman"/>
          <w:sz w:val="20"/>
          <w:szCs w:val="20"/>
          <w:lang w:val="en-ZA"/>
        </w:rPr>
        <w:instrText xml:space="preserve"> REF _Ref50034287 \h  \* MERGEFORMAT </w:instrText>
      </w:r>
      <w:r w:rsidRPr="00927BAD">
        <w:rPr>
          <w:rFonts w:cs="Times New Roman"/>
          <w:sz w:val="20"/>
          <w:szCs w:val="20"/>
          <w:lang w:val="en-ZA"/>
        </w:rPr>
      </w:r>
      <w:r w:rsidRPr="00927BAD">
        <w:rPr>
          <w:rFonts w:cs="Times New Roman"/>
          <w:sz w:val="20"/>
          <w:szCs w:val="20"/>
          <w:lang w:val="en-ZA"/>
        </w:rPr>
        <w:fldChar w:fldCharType="separate"/>
      </w:r>
      <w:r w:rsidR="00F134E0" w:rsidRPr="00927BAD">
        <w:rPr>
          <w:rFonts w:cs="Times New Roman"/>
          <w:sz w:val="20"/>
          <w:szCs w:val="20"/>
        </w:rPr>
        <w:t xml:space="preserve">Figure </w:t>
      </w:r>
      <w:r w:rsidR="00F134E0" w:rsidRPr="00927BAD">
        <w:rPr>
          <w:rFonts w:cs="Times New Roman"/>
          <w:noProof/>
          <w:sz w:val="20"/>
          <w:szCs w:val="20"/>
        </w:rPr>
        <w:t>9</w:t>
      </w:r>
      <w:r w:rsidRPr="00927BAD">
        <w:rPr>
          <w:rFonts w:cs="Times New Roman"/>
          <w:sz w:val="20"/>
          <w:szCs w:val="20"/>
          <w:lang w:val="en-ZA"/>
        </w:rPr>
        <w:fldChar w:fldCharType="end"/>
      </w:r>
      <w:r w:rsidRPr="00927BAD">
        <w:rPr>
          <w:rFonts w:cs="Times New Roman"/>
          <w:sz w:val="20"/>
          <w:szCs w:val="20"/>
          <w:lang w:val="en-ZA"/>
        </w:rPr>
        <w:t xml:space="preserve"> </w:t>
      </w:r>
      <w:r w:rsidR="0056415F" w:rsidRPr="00927BAD">
        <w:rPr>
          <w:rFonts w:cs="Times New Roman"/>
          <w:sz w:val="20"/>
          <w:szCs w:val="20"/>
          <w:lang w:val="en-ZA"/>
        </w:rPr>
        <w:t xml:space="preserve">we </w:t>
      </w:r>
      <w:r w:rsidR="008519F5">
        <w:rPr>
          <w:rFonts w:cs="Times New Roman"/>
          <w:sz w:val="20"/>
          <w:szCs w:val="20"/>
          <w:lang w:val="en-ZA"/>
        </w:rPr>
        <w:t>compare</w:t>
      </w:r>
      <w:r w:rsidR="0056415F" w:rsidRPr="00927BAD">
        <w:rPr>
          <w:rFonts w:cs="Times New Roman"/>
          <w:sz w:val="20"/>
          <w:szCs w:val="20"/>
          <w:lang w:val="en-ZA"/>
        </w:rPr>
        <w:t xml:space="preserve"> </w:t>
      </w:r>
      <w:r w:rsidRPr="00927BAD">
        <w:rPr>
          <w:rFonts w:cs="Times New Roman"/>
          <w:sz w:val="20"/>
          <w:szCs w:val="20"/>
          <w:lang w:val="en-ZA"/>
        </w:rPr>
        <w:t xml:space="preserve">the predictions of the ten GMPEs </w:t>
      </w:r>
      <w:r w:rsidR="0056415F" w:rsidRPr="00927BAD">
        <w:rPr>
          <w:rFonts w:cs="Times New Roman"/>
          <w:sz w:val="20"/>
          <w:szCs w:val="20"/>
          <w:lang w:val="en-ZA"/>
        </w:rPr>
        <w:t>pre-</w:t>
      </w:r>
      <w:r w:rsidRPr="00927BAD">
        <w:rPr>
          <w:rFonts w:cs="Times New Roman"/>
          <w:sz w:val="20"/>
          <w:szCs w:val="20"/>
          <w:lang w:val="en-ZA"/>
        </w:rPr>
        <w:t xml:space="preserve">selected in this study </w:t>
      </w:r>
      <w:r w:rsidR="0056415F" w:rsidRPr="00927BAD">
        <w:rPr>
          <w:rFonts w:cs="Times New Roman"/>
          <w:sz w:val="20"/>
          <w:szCs w:val="20"/>
          <w:lang w:val="en-ZA"/>
        </w:rPr>
        <w:t xml:space="preserve">to </w:t>
      </w:r>
      <w:r w:rsidRPr="00927BAD">
        <w:rPr>
          <w:rFonts w:cs="Times New Roman"/>
          <w:sz w:val="20"/>
          <w:szCs w:val="20"/>
          <w:lang w:val="en-ZA"/>
        </w:rPr>
        <w:t xml:space="preserve">the observations. Rietbrock et al. (2013) and Akkar et al. (2014) </w:t>
      </w:r>
      <w:r w:rsidR="0056415F" w:rsidRPr="00927BAD">
        <w:rPr>
          <w:rFonts w:cs="Times New Roman"/>
          <w:sz w:val="20"/>
          <w:szCs w:val="20"/>
          <w:lang w:val="en-ZA"/>
        </w:rPr>
        <w:t xml:space="preserve">predictions </w:t>
      </w:r>
      <w:r w:rsidRPr="00927BAD">
        <w:rPr>
          <w:rFonts w:cs="Times New Roman"/>
          <w:sz w:val="20"/>
          <w:szCs w:val="20"/>
          <w:lang w:val="en-ZA"/>
        </w:rPr>
        <w:t xml:space="preserve">fit the data on all the spectral periods </w:t>
      </w:r>
      <w:r w:rsidR="00CE0092">
        <w:rPr>
          <w:rFonts w:cs="Times New Roman"/>
          <w:sz w:val="20"/>
          <w:szCs w:val="20"/>
          <w:lang w:val="en-ZA"/>
        </w:rPr>
        <w:t>analysed,</w:t>
      </w:r>
      <w:r w:rsidRPr="00927BAD">
        <w:rPr>
          <w:rFonts w:cs="Times New Roman"/>
          <w:sz w:val="20"/>
          <w:szCs w:val="20"/>
          <w:lang w:val="en-ZA"/>
        </w:rPr>
        <w:t xml:space="preserve"> </w:t>
      </w:r>
      <w:r w:rsidR="00F10700" w:rsidRPr="00927BAD">
        <w:rPr>
          <w:rFonts w:cs="Times New Roman"/>
          <w:sz w:val="20"/>
          <w:szCs w:val="20"/>
          <w:lang w:val="en-ZA"/>
        </w:rPr>
        <w:t>while Atkinson</w:t>
      </w:r>
      <w:r w:rsidRPr="00927BAD">
        <w:rPr>
          <w:rFonts w:cs="Times New Roman"/>
          <w:sz w:val="20"/>
          <w:szCs w:val="20"/>
          <w:lang w:val="en-ZA"/>
        </w:rPr>
        <w:t xml:space="preserve"> (2015) over predicts all the spectral periods. Due to its short distance of applicability, the Atkinson (2015) model was not used for further analysis. Toro et al. (2002) and Campbell (2003) mainly </w:t>
      </w:r>
      <w:r w:rsidR="00F10700" w:rsidRPr="00927BAD">
        <w:rPr>
          <w:rFonts w:cs="Times New Roman"/>
          <w:sz w:val="20"/>
          <w:szCs w:val="20"/>
          <w:lang w:val="en-ZA"/>
        </w:rPr>
        <w:t>overestimate most spectral</w:t>
      </w:r>
      <w:r w:rsidRPr="00927BAD">
        <w:rPr>
          <w:rFonts w:cs="Times New Roman"/>
          <w:sz w:val="20"/>
          <w:szCs w:val="20"/>
          <w:lang w:val="en-ZA"/>
        </w:rPr>
        <w:t xml:space="preserve"> periods whilst fitting well on others. Silva et al. (2002) and Pezeshk et al. (2011) mainly underestimate </w:t>
      </w:r>
      <w:r w:rsidR="008519F5">
        <w:rPr>
          <w:rFonts w:cs="Times New Roman"/>
          <w:sz w:val="20"/>
          <w:szCs w:val="20"/>
          <w:lang w:val="en-ZA"/>
        </w:rPr>
        <w:t xml:space="preserve">ground motion </w:t>
      </w:r>
      <w:r w:rsidRPr="00927BAD">
        <w:rPr>
          <w:rFonts w:cs="Times New Roman"/>
          <w:sz w:val="20"/>
          <w:szCs w:val="20"/>
          <w:lang w:val="en-ZA"/>
        </w:rPr>
        <w:t xml:space="preserve">although they sometimes </w:t>
      </w:r>
      <w:r w:rsidR="006603BC" w:rsidRPr="00927BAD">
        <w:rPr>
          <w:rFonts w:cs="Times New Roman"/>
          <w:sz w:val="20"/>
          <w:szCs w:val="20"/>
          <w:lang w:val="en-ZA"/>
        </w:rPr>
        <w:t>overestimate</w:t>
      </w:r>
      <w:r w:rsidRPr="00927BAD">
        <w:rPr>
          <w:rFonts w:cs="Times New Roman"/>
          <w:sz w:val="20"/>
          <w:szCs w:val="20"/>
          <w:lang w:val="en-ZA"/>
        </w:rPr>
        <w:t xml:space="preserve"> </w:t>
      </w:r>
      <w:r w:rsidR="008519F5">
        <w:rPr>
          <w:rFonts w:cs="Times New Roman"/>
          <w:sz w:val="20"/>
          <w:szCs w:val="20"/>
          <w:lang w:val="en-ZA"/>
        </w:rPr>
        <w:t>it</w:t>
      </w:r>
      <w:r w:rsidRPr="00927BAD">
        <w:rPr>
          <w:rFonts w:cs="Times New Roman"/>
          <w:sz w:val="20"/>
          <w:szCs w:val="20"/>
          <w:lang w:val="en-ZA"/>
        </w:rPr>
        <w:t xml:space="preserve">.  Atkinson and Boore (2006) sometimes overestimates (lower spectral periods &lt;0.1 sec) and sometimes fits </w:t>
      </w:r>
      <w:r w:rsidR="0056415F" w:rsidRPr="00927BAD">
        <w:rPr>
          <w:rFonts w:cs="Times New Roman"/>
          <w:sz w:val="20"/>
          <w:szCs w:val="20"/>
          <w:lang w:val="en-ZA"/>
        </w:rPr>
        <w:t xml:space="preserve">the observations </w:t>
      </w:r>
      <w:r w:rsidRPr="00927BAD">
        <w:rPr>
          <w:rFonts w:cs="Times New Roman"/>
          <w:sz w:val="20"/>
          <w:szCs w:val="20"/>
          <w:lang w:val="en-ZA"/>
        </w:rPr>
        <w:t>well (high spectral periods &gt; 0.1 sec). Boore and Atkinson (2008) fit well up to spectral periods of 0.5 seconds</w:t>
      </w:r>
      <w:r w:rsidR="008519F5">
        <w:rPr>
          <w:rFonts w:cs="Times New Roman"/>
          <w:sz w:val="20"/>
          <w:szCs w:val="20"/>
          <w:lang w:val="en-ZA"/>
        </w:rPr>
        <w:t>,</w:t>
      </w:r>
      <w:r w:rsidRPr="00927BAD">
        <w:rPr>
          <w:rFonts w:cs="Times New Roman"/>
          <w:sz w:val="20"/>
          <w:szCs w:val="20"/>
          <w:lang w:val="en-ZA"/>
        </w:rPr>
        <w:t xml:space="preserve"> then it overestimates. For PGA</w:t>
      </w:r>
      <w:r w:rsidR="008519F5">
        <w:rPr>
          <w:rFonts w:cs="Times New Roman"/>
          <w:sz w:val="20"/>
          <w:szCs w:val="20"/>
          <w:lang w:val="en-ZA"/>
        </w:rPr>
        <w:t>,</w:t>
      </w:r>
      <w:r w:rsidRPr="00927BAD">
        <w:rPr>
          <w:rFonts w:cs="Times New Roman"/>
          <w:sz w:val="20"/>
          <w:szCs w:val="20"/>
          <w:lang w:val="en-ZA"/>
        </w:rPr>
        <w:t xml:space="preserve"> most of the GMPEs overestimate the </w:t>
      </w:r>
      <w:r w:rsidR="0056415F" w:rsidRPr="00927BAD">
        <w:rPr>
          <w:rFonts w:cs="Times New Roman"/>
          <w:sz w:val="20"/>
          <w:szCs w:val="20"/>
          <w:lang w:val="en-ZA"/>
        </w:rPr>
        <w:t xml:space="preserve">observed ground motion </w:t>
      </w:r>
      <w:r w:rsidRPr="00927BAD">
        <w:rPr>
          <w:rFonts w:cs="Times New Roman"/>
          <w:sz w:val="20"/>
          <w:szCs w:val="20"/>
          <w:lang w:val="en-ZA"/>
        </w:rPr>
        <w:t>except for Rietbrock et al. (2013) and Akkar et al. (2014)</w:t>
      </w:r>
      <w:r w:rsidR="008519F5">
        <w:rPr>
          <w:rFonts w:cs="Times New Roman"/>
          <w:sz w:val="20"/>
          <w:szCs w:val="20"/>
          <w:lang w:val="en-ZA"/>
        </w:rPr>
        <w:t>,</w:t>
      </w:r>
      <w:r w:rsidRPr="00927BAD">
        <w:rPr>
          <w:rFonts w:cs="Times New Roman"/>
          <w:sz w:val="20"/>
          <w:szCs w:val="20"/>
          <w:lang w:val="en-ZA"/>
        </w:rPr>
        <w:t xml:space="preserve"> fit well </w:t>
      </w:r>
      <w:r w:rsidR="008519F5">
        <w:rPr>
          <w:rFonts w:cs="Times New Roman"/>
          <w:sz w:val="20"/>
          <w:szCs w:val="20"/>
          <w:lang w:val="en-ZA"/>
        </w:rPr>
        <w:t>with</w:t>
      </w:r>
      <w:r w:rsidRPr="00927BAD">
        <w:rPr>
          <w:rFonts w:cs="Times New Roman"/>
          <w:sz w:val="20"/>
          <w:szCs w:val="20"/>
          <w:lang w:val="en-ZA"/>
        </w:rPr>
        <w:t xml:space="preserve"> the data, </w:t>
      </w:r>
      <w:r w:rsidR="00F10700" w:rsidRPr="00927BAD">
        <w:rPr>
          <w:rFonts w:cs="Times New Roman"/>
          <w:sz w:val="20"/>
          <w:szCs w:val="20"/>
          <w:lang w:val="en-ZA"/>
        </w:rPr>
        <w:t>while Pezeshk</w:t>
      </w:r>
      <w:r w:rsidRPr="00927BAD">
        <w:rPr>
          <w:rFonts w:cs="Times New Roman"/>
          <w:sz w:val="20"/>
          <w:szCs w:val="20"/>
          <w:lang w:val="en-ZA"/>
        </w:rPr>
        <w:t xml:space="preserve"> et al. (2011) predict lower values. For 0.05 seconds, Rietbrock et al. (2013), Akkar et al. (2013), Boore and Atkinson (2008) fit the data while </w:t>
      </w:r>
      <w:r w:rsidR="00907C9E">
        <w:rPr>
          <w:rFonts w:cs="Times New Roman"/>
          <w:sz w:val="20"/>
          <w:szCs w:val="20"/>
          <w:lang w:val="en-ZA"/>
        </w:rPr>
        <w:t xml:space="preserve">the </w:t>
      </w:r>
      <w:r w:rsidRPr="00927BAD">
        <w:rPr>
          <w:rFonts w:cs="Times New Roman"/>
          <w:sz w:val="20"/>
          <w:szCs w:val="20"/>
          <w:lang w:val="en-ZA"/>
        </w:rPr>
        <w:t xml:space="preserve">rest of the GMPEs over predict. </w:t>
      </w:r>
    </w:p>
    <w:p w14:paraId="1A6EE226" w14:textId="3D665F01" w:rsidR="003E37D8" w:rsidRPr="00E24FCB" w:rsidRDefault="00E24FCB" w:rsidP="00E24FCB">
      <w:pPr>
        <w:spacing w:before="100" w:beforeAutospacing="1" w:after="100" w:afterAutospacing="1" w:line="240" w:lineRule="auto"/>
        <w:rPr>
          <w:rFonts w:eastAsia="Times New Roman" w:cs="Times New Roman"/>
          <w:sz w:val="24"/>
          <w:szCs w:val="24"/>
          <w:lang w:val="en-ZW" w:eastAsia="en-ZW"/>
        </w:rPr>
      </w:pPr>
      <w:r w:rsidRPr="00E24FCB">
        <w:rPr>
          <w:rFonts w:eastAsia="Times New Roman" w:cs="Times New Roman"/>
          <w:noProof/>
          <w:sz w:val="24"/>
          <w:szCs w:val="24"/>
          <w:lang w:val="en-ZW" w:eastAsia="en-ZW"/>
        </w:rPr>
        <w:lastRenderedPageBreak/>
        <w:drawing>
          <wp:inline distT="0" distB="0" distL="0" distR="0" wp14:anchorId="4E4D252A" wp14:editId="609B780D">
            <wp:extent cx="5681250" cy="4500000"/>
            <wp:effectExtent l="0" t="0" r="0" b="0"/>
            <wp:docPr id="2" name="Picture 2" descr="C:\Users\brassnavy.manzunzu\Documents\Manuscripts\SAIMM paper\Review\Figure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rassnavy.manzunzu\Documents\Manuscripts\SAIMM paper\Review\Figure 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81250" cy="4500000"/>
                    </a:xfrm>
                    <a:prstGeom prst="rect">
                      <a:avLst/>
                    </a:prstGeom>
                    <a:noFill/>
                    <a:ln>
                      <a:noFill/>
                    </a:ln>
                  </pic:spPr>
                </pic:pic>
              </a:graphicData>
            </a:graphic>
          </wp:inline>
        </w:drawing>
      </w:r>
    </w:p>
    <w:p w14:paraId="0CD88BF8" w14:textId="5647B37A" w:rsidR="004C5428" w:rsidRPr="00927BAD" w:rsidRDefault="004C5428" w:rsidP="00DA1B47">
      <w:pPr>
        <w:pStyle w:val="Caption"/>
        <w:jc w:val="both"/>
        <w:rPr>
          <w:rFonts w:cs="Times New Roman"/>
          <w:b w:val="0"/>
          <w:color w:val="auto"/>
          <w:sz w:val="20"/>
          <w:szCs w:val="20"/>
        </w:rPr>
      </w:pPr>
      <w:bookmarkStart w:id="37" w:name="_Ref50034287"/>
      <w:bookmarkStart w:id="38" w:name="_Toc69136525"/>
      <w:r w:rsidRPr="003E37D8">
        <w:rPr>
          <w:rFonts w:cs="Times New Roman"/>
          <w:b w:val="0"/>
          <w:color w:val="auto"/>
          <w:sz w:val="20"/>
          <w:szCs w:val="20"/>
        </w:rPr>
        <w:t xml:space="preserve">Figure </w:t>
      </w:r>
      <w:bookmarkEnd w:id="37"/>
      <w:r w:rsidR="00CE0092" w:rsidRPr="003E37D8">
        <w:rPr>
          <w:rFonts w:cs="Times New Roman"/>
          <w:b w:val="0"/>
          <w:color w:val="auto"/>
          <w:sz w:val="20"/>
          <w:szCs w:val="20"/>
        </w:rPr>
        <w:t>9</w:t>
      </w:r>
      <w:r w:rsidR="003E37D8" w:rsidRPr="003E37D8">
        <w:rPr>
          <w:rFonts w:cs="Times New Roman"/>
          <w:b w:val="0"/>
          <w:color w:val="auto"/>
          <w:sz w:val="20"/>
          <w:szCs w:val="20"/>
        </w:rPr>
        <w:t>:</w:t>
      </w:r>
      <w:r w:rsidRPr="00927BAD">
        <w:rPr>
          <w:rFonts w:cs="Times New Roman"/>
          <w:color w:val="auto"/>
          <w:sz w:val="20"/>
          <w:szCs w:val="20"/>
        </w:rPr>
        <w:t xml:space="preserve"> </w:t>
      </w:r>
      <w:r w:rsidRPr="00927BAD">
        <w:rPr>
          <w:rFonts w:cs="Times New Roman"/>
          <w:b w:val="0"/>
          <w:color w:val="auto"/>
          <w:sz w:val="20"/>
          <w:szCs w:val="20"/>
        </w:rPr>
        <w:t xml:space="preserve">Comparison between the spectral accelerations at three spectral periods recorded during the 2014 Orkney earthquake of magnitude </w:t>
      </w:r>
      <w:r w:rsidRPr="00927BAD">
        <w:rPr>
          <w:rFonts w:cs="Times New Roman"/>
          <w:b w:val="0"/>
          <w:i/>
          <w:iCs/>
          <w:color w:val="auto"/>
          <w:sz w:val="20"/>
          <w:szCs w:val="20"/>
        </w:rPr>
        <w:t xml:space="preserve">Mw </w:t>
      </w:r>
      <w:r w:rsidRPr="00927BAD">
        <w:rPr>
          <w:rFonts w:cs="Times New Roman"/>
          <w:b w:val="0"/>
          <w:color w:val="auto"/>
          <w:sz w:val="20"/>
          <w:szCs w:val="20"/>
        </w:rPr>
        <w:t>= 5.5 and the predictions obtained with ten preselected GMPEs.</w:t>
      </w:r>
      <w:bookmarkEnd w:id="38"/>
      <w:r w:rsidRPr="00927BAD">
        <w:rPr>
          <w:rFonts w:cs="Times New Roman"/>
          <w:b w:val="0"/>
          <w:color w:val="auto"/>
          <w:sz w:val="20"/>
          <w:szCs w:val="20"/>
        </w:rPr>
        <w:t xml:space="preserve"> </w:t>
      </w:r>
    </w:p>
    <w:p w14:paraId="6A7E5C7E" w14:textId="362CAF73" w:rsidR="004C5428" w:rsidRPr="00927BAD" w:rsidRDefault="004C5428" w:rsidP="00DA1B47">
      <w:pPr>
        <w:autoSpaceDE w:val="0"/>
        <w:autoSpaceDN w:val="0"/>
        <w:adjustRightInd w:val="0"/>
        <w:spacing w:line="240" w:lineRule="auto"/>
        <w:jc w:val="both"/>
        <w:rPr>
          <w:rFonts w:cs="Times New Roman"/>
          <w:sz w:val="20"/>
          <w:szCs w:val="20"/>
        </w:rPr>
      </w:pPr>
      <w:r w:rsidRPr="00927BAD">
        <w:rPr>
          <w:rFonts w:cs="Times New Roman"/>
          <w:sz w:val="20"/>
          <w:szCs w:val="20"/>
        </w:rPr>
        <w:t>It is apparent from these results that the shape of attenuation curves of only one model cannot capture the real behaviour of the data. Therefore, six GMPEs were selected to cover the lower (Toro et al., 2002; Boore and Atkinson, 2008), median (Akkar et al., 2014; Rietbrock et al., 2013) and upper range (Campbell, 2003; Atkinson and Boore</w:t>
      </w:r>
      <w:r w:rsidR="00024DFD">
        <w:rPr>
          <w:rFonts w:cs="Times New Roman"/>
          <w:sz w:val="20"/>
          <w:szCs w:val="20"/>
        </w:rPr>
        <w:t>,</w:t>
      </w:r>
      <w:r w:rsidRPr="00927BAD">
        <w:rPr>
          <w:rFonts w:cs="Times New Roman"/>
          <w:sz w:val="20"/>
          <w:szCs w:val="20"/>
        </w:rPr>
        <w:t xml:space="preserve"> 2006) of the ground motion in order to capture the uncertainty associated with GMPE selection. These six GMPEs were then used for sensitivity analysis.</w:t>
      </w:r>
    </w:p>
    <w:p w14:paraId="0CAF3ED8" w14:textId="77777777" w:rsidR="0063283B" w:rsidRPr="00927BAD" w:rsidRDefault="0063283B" w:rsidP="0063283B">
      <w:pPr>
        <w:pStyle w:val="Heading3"/>
        <w:numPr>
          <w:ilvl w:val="0"/>
          <w:numId w:val="0"/>
        </w:numPr>
        <w:spacing w:line="240" w:lineRule="auto"/>
        <w:rPr>
          <w:rFonts w:cs="Times New Roman"/>
          <w:sz w:val="20"/>
          <w:szCs w:val="20"/>
        </w:rPr>
      </w:pPr>
      <w:r w:rsidRPr="00927BAD">
        <w:rPr>
          <w:rFonts w:cs="Times New Roman"/>
          <w:sz w:val="20"/>
          <w:szCs w:val="20"/>
        </w:rPr>
        <w:t xml:space="preserve">Uncertainty analysis related to Ground Motion Prediction Equations </w:t>
      </w:r>
    </w:p>
    <w:p w14:paraId="06E7ABD3" w14:textId="559928EF" w:rsidR="00D813C7" w:rsidRPr="00D813C7" w:rsidRDefault="00C52E7C" w:rsidP="00D813C7">
      <w:pPr>
        <w:spacing w:line="240" w:lineRule="auto"/>
        <w:ind w:firstLine="720"/>
        <w:jc w:val="both"/>
        <w:rPr>
          <w:rFonts w:eastAsia="Times New Roman" w:cs="Times New Roman"/>
          <w:sz w:val="20"/>
          <w:szCs w:val="20"/>
          <w:lang w:eastAsia="en-GB"/>
        </w:rPr>
      </w:pPr>
      <w:r w:rsidRPr="00927BAD">
        <w:rPr>
          <w:rFonts w:eastAsia="Times New Roman" w:cs="Times New Roman"/>
          <w:sz w:val="20"/>
          <w:szCs w:val="20"/>
          <w:lang w:eastAsia="en-GB"/>
        </w:rPr>
        <w:t>The six GMPEs (AB06, BA08, AKETAL14,</w:t>
      </w:r>
      <w:r w:rsidR="00CE0092">
        <w:rPr>
          <w:rFonts w:eastAsia="Times New Roman" w:cs="Times New Roman"/>
          <w:sz w:val="20"/>
          <w:szCs w:val="20"/>
          <w:lang w:eastAsia="en-GB"/>
        </w:rPr>
        <w:t xml:space="preserve"> </w:t>
      </w:r>
      <w:r w:rsidRPr="00927BAD">
        <w:rPr>
          <w:rFonts w:eastAsia="Times New Roman" w:cs="Times New Roman"/>
          <w:sz w:val="20"/>
          <w:szCs w:val="20"/>
          <w:lang w:eastAsia="en-GB"/>
        </w:rPr>
        <w:t>TO02, RIETAL13</w:t>
      </w:r>
      <w:r w:rsidR="00024DFD">
        <w:rPr>
          <w:rFonts w:eastAsia="Times New Roman" w:cs="Times New Roman"/>
          <w:sz w:val="20"/>
          <w:szCs w:val="20"/>
          <w:lang w:eastAsia="en-GB"/>
        </w:rPr>
        <w:t>,</w:t>
      </w:r>
      <w:r w:rsidRPr="00927BAD">
        <w:rPr>
          <w:rFonts w:eastAsia="Times New Roman" w:cs="Times New Roman"/>
          <w:sz w:val="20"/>
          <w:szCs w:val="20"/>
          <w:lang w:eastAsia="en-GB"/>
        </w:rPr>
        <w:t xml:space="preserve"> and CAM03) selected by comparing with local data were used in this study to demonstrate the effect of choice of </w:t>
      </w:r>
      <w:r w:rsidR="00024DFD">
        <w:rPr>
          <w:rFonts w:eastAsia="Times New Roman" w:cs="Times New Roman"/>
          <w:sz w:val="20"/>
          <w:szCs w:val="20"/>
          <w:lang w:eastAsia="en-GB"/>
        </w:rPr>
        <w:t xml:space="preserve">the </w:t>
      </w:r>
      <w:r w:rsidRPr="00927BAD">
        <w:rPr>
          <w:rFonts w:eastAsia="Times New Roman" w:cs="Times New Roman"/>
          <w:sz w:val="20"/>
          <w:szCs w:val="20"/>
          <w:lang w:eastAsia="en-GB"/>
        </w:rPr>
        <w:t>model on</w:t>
      </w:r>
      <w:r w:rsidR="00312F3B" w:rsidRPr="00927BAD">
        <w:rPr>
          <w:rFonts w:eastAsia="Times New Roman" w:cs="Times New Roman"/>
          <w:sz w:val="20"/>
          <w:szCs w:val="20"/>
          <w:lang w:eastAsia="en-GB"/>
        </w:rPr>
        <w:t xml:space="preserve"> the hazard results</w:t>
      </w:r>
      <w:r w:rsidRPr="00B05BB3">
        <w:rPr>
          <w:rFonts w:eastAsia="Times New Roman" w:cs="Times New Roman"/>
          <w:sz w:val="20"/>
          <w:szCs w:val="20"/>
          <w:lang w:eastAsia="en-GB"/>
        </w:rPr>
        <w:t xml:space="preserve">. </w:t>
      </w:r>
      <w:r w:rsidR="00B05BB3" w:rsidRPr="00D4669C">
        <w:rPr>
          <w:sz w:val="20"/>
          <w:szCs w:val="20"/>
        </w:rPr>
        <w:t>The analyses are conducted for six cases, each corresponding to a different GMPE, to illustrate the effect of the chosen GMPEs.</w:t>
      </w:r>
      <w:r w:rsidRPr="00927BAD">
        <w:rPr>
          <w:rFonts w:eastAsia="Times New Roman" w:cs="Times New Roman"/>
          <w:sz w:val="20"/>
          <w:szCs w:val="20"/>
          <w:lang w:eastAsia="en-GB"/>
        </w:rPr>
        <w:t xml:space="preserve">. </w:t>
      </w:r>
      <w:r w:rsidR="00D813C7" w:rsidRPr="00D813C7">
        <w:rPr>
          <w:rFonts w:eastAsia="Times New Roman" w:cs="Times New Roman"/>
          <w:sz w:val="20"/>
          <w:szCs w:val="20"/>
          <w:lang w:eastAsia="en-GB"/>
        </w:rPr>
        <w:t xml:space="preserve">The sensitivity of the output to variations in the input parameters is quantified using the Coefficient of Variation (COV), where COV is a measure of relative variability and is related to both the standard deviation (σ) and the mean (μ) through the relation by Cramer (2001a; 2001b; 2002). </w:t>
      </w:r>
    </w:p>
    <w:p w14:paraId="00B775C7" w14:textId="19DD9A0D" w:rsidR="00D813C7" w:rsidRPr="00F10700" w:rsidRDefault="00F10700" w:rsidP="00D4669C">
      <w:pPr>
        <w:ind w:firstLine="720"/>
        <w:jc w:val="center"/>
        <w:rPr>
          <w:rFonts w:eastAsia="Times New Roman" w:cs="Times New Roman"/>
          <w:bCs/>
          <w:sz w:val="20"/>
          <w:szCs w:val="20"/>
          <w:lang w:eastAsia="en-GB"/>
        </w:rPr>
      </w:pPr>
      <m:oMath>
        <m:r>
          <m:rPr>
            <m:sty m:val="p"/>
          </m:rPr>
          <w:rPr>
            <w:rFonts w:ascii="Cambria Math" w:eastAsia="Times New Roman" w:hAnsi="Cambria Math" w:cs="Times New Roman"/>
            <w:sz w:val="20"/>
            <w:szCs w:val="20"/>
            <w:lang w:eastAsia="en-GB"/>
          </w:rPr>
          <m:t xml:space="preserve">COV= </m:t>
        </m:r>
        <m:f>
          <m:fPr>
            <m:ctrlPr>
              <w:rPr>
                <w:rFonts w:ascii="Cambria Math" w:eastAsia="Times New Roman" w:hAnsi="Cambria Math" w:cs="Times New Roman"/>
                <w:sz w:val="20"/>
                <w:szCs w:val="20"/>
                <w:lang w:eastAsia="en-GB"/>
              </w:rPr>
            </m:ctrlPr>
          </m:fPr>
          <m:num>
            <m:r>
              <m:rPr>
                <m:sty m:val="p"/>
              </m:rPr>
              <w:rPr>
                <w:rFonts w:ascii="Cambria Math" w:eastAsia="Times New Roman" w:hAnsi="Cambria Math" w:cs="Times New Roman"/>
                <w:sz w:val="20"/>
                <w:szCs w:val="20"/>
                <w:lang w:eastAsia="en-GB"/>
              </w:rPr>
              <m:t>σ</m:t>
            </m:r>
          </m:num>
          <m:den>
            <m:r>
              <m:rPr>
                <m:sty m:val="p"/>
              </m:rPr>
              <w:rPr>
                <w:rFonts w:ascii="Cambria Math" w:eastAsia="Times New Roman" w:hAnsi="Cambria Math" w:cs="Times New Roman"/>
                <w:sz w:val="20"/>
                <w:szCs w:val="20"/>
                <w:lang w:eastAsia="en-GB"/>
              </w:rPr>
              <m:t>μ</m:t>
            </m:r>
          </m:den>
        </m:f>
      </m:oMath>
      <w:r w:rsidRPr="00F10700">
        <w:rPr>
          <w:rFonts w:eastAsia="Times New Roman" w:cs="Times New Roman"/>
          <w:sz w:val="20"/>
          <w:szCs w:val="20"/>
          <w:lang w:eastAsia="en-GB"/>
        </w:rPr>
        <w:t xml:space="preserve"> </w:t>
      </w:r>
      <w:r w:rsidRPr="00F10700">
        <w:rPr>
          <w:rFonts w:eastAsia="Times New Roman" w:cs="Times New Roman"/>
          <w:sz w:val="20"/>
          <w:szCs w:val="20"/>
          <w:lang w:eastAsia="en-GB"/>
        </w:rPr>
        <w:tab/>
      </w:r>
      <w:r w:rsidRPr="00F10700">
        <w:rPr>
          <w:rFonts w:eastAsia="Times New Roman" w:cs="Times New Roman"/>
          <w:sz w:val="20"/>
          <w:szCs w:val="20"/>
          <w:lang w:eastAsia="en-GB"/>
        </w:rPr>
        <w:tab/>
      </w:r>
      <w:r>
        <w:rPr>
          <w:rFonts w:eastAsia="Times New Roman" w:cs="Times New Roman"/>
          <w:sz w:val="20"/>
          <w:szCs w:val="20"/>
          <w:lang w:eastAsia="en-GB"/>
        </w:rPr>
        <w:t>[5]</w:t>
      </w:r>
    </w:p>
    <w:p w14:paraId="3A0A9B9E" w14:textId="56FA9CDB" w:rsidR="00C52E7C" w:rsidRPr="00D813C7" w:rsidRDefault="00D813C7" w:rsidP="00D813C7">
      <w:pPr>
        <w:spacing w:line="240" w:lineRule="auto"/>
        <w:ind w:firstLine="720"/>
        <w:jc w:val="both"/>
        <w:rPr>
          <w:rFonts w:eastAsia="Times New Roman" w:cs="Times New Roman"/>
          <w:sz w:val="20"/>
          <w:szCs w:val="20"/>
          <w:lang w:eastAsia="en-GB"/>
        </w:rPr>
      </w:pPr>
      <w:r w:rsidRPr="00D813C7">
        <w:rPr>
          <w:rFonts w:eastAsia="Times New Roman" w:cs="Times New Roman"/>
          <w:sz w:val="20"/>
          <w:szCs w:val="20"/>
          <w:lang w:eastAsia="en-GB"/>
        </w:rPr>
        <w:t xml:space="preserve">COV is a standardized, unitless measure that </w:t>
      </w:r>
      <w:r w:rsidR="00B05BB3">
        <w:rPr>
          <w:rFonts w:eastAsia="Times New Roman" w:cs="Times New Roman"/>
          <w:sz w:val="20"/>
          <w:szCs w:val="20"/>
          <w:lang w:eastAsia="en-GB"/>
        </w:rPr>
        <w:t>compares</w:t>
      </w:r>
      <w:r w:rsidRPr="00D813C7">
        <w:rPr>
          <w:rFonts w:eastAsia="Times New Roman" w:cs="Times New Roman"/>
          <w:sz w:val="20"/>
          <w:szCs w:val="20"/>
          <w:lang w:eastAsia="en-GB"/>
        </w:rPr>
        <w:t xml:space="preserve"> variability between dissimilar groups and characteristics. A small COV value indicates that variation in the related parameter does not show large variation in output, while a large COV indicates that the output is </w:t>
      </w:r>
      <w:r w:rsidR="00B05BB3">
        <w:rPr>
          <w:rFonts w:eastAsia="Times New Roman" w:cs="Times New Roman"/>
          <w:sz w:val="20"/>
          <w:szCs w:val="20"/>
          <w:lang w:eastAsia="en-GB"/>
        </w:rPr>
        <w:t>susceptible</w:t>
      </w:r>
      <w:r w:rsidRPr="00D813C7">
        <w:rPr>
          <w:rFonts w:eastAsia="Times New Roman" w:cs="Times New Roman"/>
          <w:sz w:val="20"/>
          <w:szCs w:val="20"/>
          <w:lang w:eastAsia="en-GB"/>
        </w:rPr>
        <w:t xml:space="preserve"> to variations in the parameter under investigation (Gomez and Gomez, 1984; Cramer, 2002; Campbell et al., 2010).</w:t>
      </w:r>
    </w:p>
    <w:p w14:paraId="4400CA40" w14:textId="2812A42B" w:rsidR="00C52E7C" w:rsidRPr="00927BAD" w:rsidRDefault="00C52E7C" w:rsidP="00C9156C">
      <w:pPr>
        <w:spacing w:line="240" w:lineRule="auto"/>
        <w:ind w:firstLine="720"/>
        <w:jc w:val="both"/>
        <w:rPr>
          <w:rFonts w:eastAsia="Times New Roman" w:cs="Times New Roman"/>
          <w:sz w:val="20"/>
          <w:szCs w:val="20"/>
          <w:lang w:eastAsia="en-GB"/>
        </w:rPr>
      </w:pPr>
      <w:r w:rsidRPr="00927BAD">
        <w:rPr>
          <w:rFonts w:eastAsia="Times New Roman" w:cs="Times New Roman"/>
          <w:sz w:val="20"/>
          <w:szCs w:val="20"/>
          <w:lang w:eastAsia="en-GB"/>
        </w:rPr>
        <w:t xml:space="preserve">COV results show high values (&gt;0.3) </w:t>
      </w:r>
      <w:r w:rsidR="0063410D" w:rsidRPr="00927BAD">
        <w:rPr>
          <w:rFonts w:eastAsia="Times New Roman" w:cs="Times New Roman"/>
          <w:sz w:val="20"/>
          <w:szCs w:val="20"/>
          <w:lang w:eastAsia="en-GB"/>
        </w:rPr>
        <w:t xml:space="preserve">that </w:t>
      </w:r>
      <w:r w:rsidRPr="00927BAD">
        <w:rPr>
          <w:rFonts w:eastAsia="Times New Roman" w:cs="Times New Roman"/>
          <w:sz w:val="20"/>
          <w:szCs w:val="20"/>
          <w:lang w:eastAsia="en-GB"/>
        </w:rPr>
        <w:t>indicat</w:t>
      </w:r>
      <w:r w:rsidR="0063410D" w:rsidRPr="00927BAD">
        <w:rPr>
          <w:rFonts w:eastAsia="Times New Roman" w:cs="Times New Roman"/>
          <w:sz w:val="20"/>
          <w:szCs w:val="20"/>
          <w:lang w:eastAsia="en-GB"/>
        </w:rPr>
        <w:t>e</w:t>
      </w:r>
      <w:r w:rsidRPr="00927BAD">
        <w:rPr>
          <w:rFonts w:eastAsia="Times New Roman" w:cs="Times New Roman"/>
          <w:sz w:val="20"/>
          <w:szCs w:val="20"/>
          <w:lang w:eastAsia="en-GB"/>
        </w:rPr>
        <w:t xml:space="preserve"> large variability in the results (</w:t>
      </w:r>
      <w:r w:rsidRPr="00927BAD">
        <w:rPr>
          <w:rFonts w:eastAsia="Times New Roman" w:cs="Times New Roman"/>
          <w:sz w:val="20"/>
          <w:szCs w:val="20"/>
          <w:lang w:eastAsia="en-GB"/>
        </w:rPr>
        <w:fldChar w:fldCharType="begin"/>
      </w:r>
      <w:r w:rsidRPr="00927BAD">
        <w:rPr>
          <w:rFonts w:eastAsia="Times New Roman" w:cs="Times New Roman"/>
          <w:sz w:val="20"/>
          <w:szCs w:val="20"/>
          <w:lang w:eastAsia="en-GB"/>
        </w:rPr>
        <w:instrText xml:space="preserve"> REF _Ref53650789 \h  \* MERGEFORMAT </w:instrText>
      </w:r>
      <w:r w:rsidRPr="00927BAD">
        <w:rPr>
          <w:rFonts w:eastAsia="Times New Roman" w:cs="Times New Roman"/>
          <w:sz w:val="20"/>
          <w:szCs w:val="20"/>
          <w:lang w:eastAsia="en-GB"/>
        </w:rPr>
      </w:r>
      <w:r w:rsidRPr="00927BAD">
        <w:rPr>
          <w:rFonts w:eastAsia="Times New Roman" w:cs="Times New Roman"/>
          <w:sz w:val="20"/>
          <w:szCs w:val="20"/>
          <w:lang w:eastAsia="en-GB"/>
        </w:rPr>
        <w:fldChar w:fldCharType="separate"/>
      </w:r>
      <w:r w:rsidR="00312F3B" w:rsidRPr="00927BAD">
        <w:rPr>
          <w:rFonts w:eastAsia="Times New Roman" w:cs="Times New Roman"/>
          <w:sz w:val="20"/>
          <w:szCs w:val="20"/>
          <w:lang w:eastAsia="en-GB"/>
        </w:rPr>
        <w:t>Figure 1</w:t>
      </w:r>
      <w:r w:rsidRPr="00927BAD">
        <w:rPr>
          <w:rFonts w:eastAsia="Times New Roman" w:cs="Times New Roman"/>
          <w:sz w:val="20"/>
          <w:szCs w:val="20"/>
          <w:lang w:eastAsia="en-GB"/>
        </w:rPr>
        <w:fldChar w:fldCharType="end"/>
      </w:r>
      <w:r w:rsidR="00F10700">
        <w:rPr>
          <w:rFonts w:eastAsia="Times New Roman" w:cs="Times New Roman"/>
          <w:sz w:val="20"/>
          <w:szCs w:val="20"/>
          <w:lang w:eastAsia="en-GB"/>
        </w:rPr>
        <w:t>0</w:t>
      </w:r>
      <w:r w:rsidRPr="00927BAD">
        <w:rPr>
          <w:rFonts w:eastAsia="Times New Roman" w:cs="Times New Roman"/>
          <w:sz w:val="20"/>
          <w:szCs w:val="20"/>
          <w:lang w:eastAsia="en-GB"/>
        </w:rPr>
        <w:t xml:space="preserve">). Spatial distribution of the COV values are significantly different for the three spectral periods. High COV values were observed in the central areas for PGA, which decreases north and southwards. For PSA=0.15s, high COV values are found in the eastern side around Johannesburg CBD while for PSA=2.0s they are on the west in Soweto. These high COV values for GMPEs show that this is an important parameter whose selection has significant influence </w:t>
      </w:r>
      <w:r w:rsidRPr="00927BAD">
        <w:rPr>
          <w:rFonts w:eastAsia="Times New Roman" w:cs="Times New Roman"/>
          <w:sz w:val="20"/>
          <w:szCs w:val="20"/>
          <w:lang w:eastAsia="en-GB"/>
        </w:rPr>
        <w:lastRenderedPageBreak/>
        <w:t xml:space="preserve">on the hazard. Given the uncertainty in the hazard linked to the GMPEs, it is necessary that a range of models that cover the epistemic uncertainty associated with the models be selected. </w:t>
      </w:r>
    </w:p>
    <w:p w14:paraId="02D169A9" w14:textId="4F1342DF" w:rsidR="00E24FCB" w:rsidRPr="00E24FCB" w:rsidRDefault="00E24FCB" w:rsidP="00E24FCB">
      <w:pPr>
        <w:pStyle w:val="NormalWeb"/>
        <w:rPr>
          <w:rFonts w:eastAsia="Times New Roman"/>
          <w:lang w:val="en-ZW" w:eastAsia="en-ZW"/>
        </w:rPr>
      </w:pPr>
      <w:r w:rsidRPr="00E24FCB">
        <w:rPr>
          <w:rFonts w:eastAsia="Times New Roman"/>
          <w:noProof/>
          <w:lang w:val="en-ZW" w:eastAsia="en-ZW"/>
        </w:rPr>
        <w:drawing>
          <wp:inline distT="0" distB="0" distL="0" distR="0" wp14:anchorId="43B7F226" wp14:editId="30F946F2">
            <wp:extent cx="5304930" cy="5400000"/>
            <wp:effectExtent l="0" t="0" r="0" b="0"/>
            <wp:docPr id="1" name="Picture 1" descr="C:\Users\brassnavy.manzunzu\Documents\Manuscripts\SAIMM paper\Review\Figure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assnavy.manzunzu\Documents\Manuscripts\SAIMM paper\Review\Figure 1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04930" cy="5400000"/>
                    </a:xfrm>
                    <a:prstGeom prst="rect">
                      <a:avLst/>
                    </a:prstGeom>
                    <a:noFill/>
                    <a:ln>
                      <a:noFill/>
                    </a:ln>
                  </pic:spPr>
                </pic:pic>
              </a:graphicData>
            </a:graphic>
          </wp:inline>
        </w:drawing>
      </w:r>
    </w:p>
    <w:p w14:paraId="75289D42" w14:textId="482E910D" w:rsidR="0063283B" w:rsidRPr="00927BAD" w:rsidRDefault="0063283B" w:rsidP="0063283B">
      <w:pPr>
        <w:pStyle w:val="Caption"/>
        <w:rPr>
          <w:rFonts w:cs="Times New Roman"/>
          <w:b w:val="0"/>
          <w:color w:val="auto"/>
          <w:sz w:val="20"/>
          <w:szCs w:val="20"/>
        </w:rPr>
      </w:pPr>
      <w:bookmarkStart w:id="39" w:name="_Ref53650789"/>
      <w:r w:rsidRPr="00927BAD">
        <w:rPr>
          <w:rFonts w:cs="Times New Roman"/>
          <w:b w:val="0"/>
          <w:color w:val="auto"/>
          <w:sz w:val="20"/>
          <w:szCs w:val="20"/>
        </w:rPr>
        <w:t xml:space="preserve">Figure </w:t>
      </w:r>
      <w:bookmarkEnd w:id="39"/>
      <w:r w:rsidR="00CE0092" w:rsidRPr="00927BAD">
        <w:rPr>
          <w:rFonts w:cs="Times New Roman"/>
          <w:b w:val="0"/>
          <w:color w:val="auto"/>
          <w:sz w:val="20"/>
          <w:szCs w:val="20"/>
        </w:rPr>
        <w:fldChar w:fldCharType="begin"/>
      </w:r>
      <w:r w:rsidR="00CE0092" w:rsidRPr="00927BAD">
        <w:rPr>
          <w:rFonts w:cs="Times New Roman"/>
          <w:b w:val="0"/>
          <w:color w:val="auto"/>
          <w:sz w:val="20"/>
          <w:szCs w:val="20"/>
        </w:rPr>
        <w:instrText xml:space="preserve"> SEQ Figure \* ARABIC </w:instrText>
      </w:r>
      <w:r w:rsidR="00CE0092" w:rsidRPr="00927BAD">
        <w:rPr>
          <w:rFonts w:cs="Times New Roman"/>
          <w:b w:val="0"/>
          <w:color w:val="auto"/>
          <w:sz w:val="20"/>
          <w:szCs w:val="20"/>
        </w:rPr>
        <w:fldChar w:fldCharType="separate"/>
      </w:r>
      <w:r w:rsidR="00CE0092" w:rsidRPr="00927BAD">
        <w:rPr>
          <w:rFonts w:cs="Times New Roman"/>
          <w:b w:val="0"/>
          <w:noProof/>
          <w:color w:val="auto"/>
          <w:sz w:val="20"/>
          <w:szCs w:val="20"/>
        </w:rPr>
        <w:t>1</w:t>
      </w:r>
      <w:r w:rsidR="00CE0092">
        <w:rPr>
          <w:rFonts w:cs="Times New Roman"/>
          <w:b w:val="0"/>
          <w:noProof/>
          <w:color w:val="auto"/>
          <w:sz w:val="20"/>
          <w:szCs w:val="20"/>
        </w:rPr>
        <w:t>0</w:t>
      </w:r>
      <w:r w:rsidR="00CE0092" w:rsidRPr="00927BAD">
        <w:rPr>
          <w:rFonts w:cs="Times New Roman"/>
          <w:b w:val="0"/>
          <w:color w:val="auto"/>
          <w:sz w:val="20"/>
          <w:szCs w:val="20"/>
        </w:rPr>
        <w:fldChar w:fldCharType="end"/>
      </w:r>
      <w:r w:rsidRPr="00927BAD">
        <w:rPr>
          <w:rFonts w:cs="Times New Roman"/>
          <w:b w:val="0"/>
          <w:color w:val="auto"/>
          <w:sz w:val="20"/>
          <w:szCs w:val="20"/>
        </w:rPr>
        <w:t>: COV results for GMPE seismic hazard sensitivity analysis</w:t>
      </w:r>
      <w:r w:rsidR="00CE0092">
        <w:rPr>
          <w:rFonts w:cs="Times New Roman"/>
          <w:b w:val="0"/>
          <w:color w:val="auto"/>
          <w:sz w:val="20"/>
          <w:szCs w:val="20"/>
        </w:rPr>
        <w:t xml:space="preserve"> (a) PGA, (b) PSA = 0.15 s, and (c) PSA = 2.0 s.</w:t>
      </w:r>
    </w:p>
    <w:p w14:paraId="3225F26D" w14:textId="77777777" w:rsidR="004C5428" w:rsidRPr="00927BAD" w:rsidRDefault="004C5428" w:rsidP="00C9156C">
      <w:pPr>
        <w:pStyle w:val="Heading2"/>
        <w:numPr>
          <w:ilvl w:val="0"/>
          <w:numId w:val="0"/>
        </w:numPr>
        <w:spacing w:line="240" w:lineRule="auto"/>
        <w:rPr>
          <w:rFonts w:ascii="Times New Roman" w:hAnsi="Times New Roman" w:cs="Times New Roman"/>
          <w:sz w:val="20"/>
          <w:szCs w:val="20"/>
        </w:rPr>
      </w:pPr>
      <w:bookmarkStart w:id="40" w:name="_Ref68618433"/>
      <w:bookmarkStart w:id="41" w:name="_Toc69136364"/>
      <w:r w:rsidRPr="00927BAD">
        <w:rPr>
          <w:rFonts w:ascii="Times New Roman" w:hAnsi="Times New Roman" w:cs="Times New Roman"/>
          <w:sz w:val="20"/>
          <w:szCs w:val="20"/>
        </w:rPr>
        <w:t>Conclusions</w:t>
      </w:r>
      <w:bookmarkEnd w:id="40"/>
      <w:bookmarkEnd w:id="41"/>
    </w:p>
    <w:p w14:paraId="3D171EC7" w14:textId="48CF00D8" w:rsidR="00F10700" w:rsidRDefault="00820A8B" w:rsidP="00255451">
      <w:pPr>
        <w:spacing w:line="240" w:lineRule="auto"/>
        <w:jc w:val="both"/>
        <w:rPr>
          <w:sz w:val="20"/>
          <w:szCs w:val="20"/>
        </w:rPr>
      </w:pPr>
      <w:r w:rsidRPr="00486EF6">
        <w:rPr>
          <w:sz w:val="20"/>
          <w:szCs w:val="20"/>
        </w:rPr>
        <w:t>Selecting appropriate GMPEs requires a thorough evaluation of local model quality, compatibility with observed data, and consideration of epistemic uncertainties in ground-motion prediction. Given the complexity of the seismotectonic setting in the study area, GMPEs from various tectonic regimes were chosen for the seismic hazard analysis. To minimize uncertainty in the selection process, ten GMPEs were identified and compared with local ground-motion data, from which a set of GMPEs was selected that best fits the data for the region. Six of these GMPEs (Boore and Atkinson, 2008; Campbell, 2003; Akkar et al., 2014; Toro et al., 2002; Rietbrock et al., 2013; and Atkinson and Boore, 2006) were chosen to represent epistemic uncertainty. A sensitivity analysis was conducted to evaluate the impact of GMPE selection on the final hazard estimate. GMPEs based on induced seismicity were excluded, as they did not meet the selection criteria outlined by Bommer et al. (2010), being limited to PGA predictions and not considering other spectral periods. The Atkinson (2015) equation was also excluded because it is applicable only to small magnitudes, whereas seismic hazard analysis focuses on events of moderate to large magnitude that generate ground motions capable of affecting buildings. Comparisons show that when attenuation models are based on a well-assembled database and used within their validity range, they can accurately predict ground motion parameters, especially for short and intermediate structural periods. The methodology adopted in this study aligns with current best practices. Future efforts will be necessary to assess or develop GMPEs for this region as suitable strong-motion data from moderate to large earthquakes are recorded</w:t>
      </w:r>
      <w:r w:rsidR="00F10700">
        <w:rPr>
          <w:sz w:val="20"/>
          <w:szCs w:val="20"/>
        </w:rPr>
        <w:t>.</w:t>
      </w:r>
    </w:p>
    <w:p w14:paraId="3D3F661A" w14:textId="3AA0923E" w:rsidR="00926ACC" w:rsidRDefault="00926ACC" w:rsidP="00255451">
      <w:pPr>
        <w:spacing w:line="240" w:lineRule="auto"/>
        <w:jc w:val="both"/>
        <w:rPr>
          <w:rFonts w:cs="Times New Roman"/>
          <w:sz w:val="20"/>
          <w:szCs w:val="20"/>
        </w:rPr>
      </w:pPr>
      <w:r>
        <w:rPr>
          <w:rFonts w:cs="Times New Roman"/>
          <w:b/>
          <w:sz w:val="20"/>
          <w:szCs w:val="20"/>
        </w:rPr>
        <w:lastRenderedPageBreak/>
        <w:t>Acknowledgements</w:t>
      </w:r>
    </w:p>
    <w:p w14:paraId="094E0524" w14:textId="0FBFFB10" w:rsidR="00926ACC" w:rsidRDefault="00926ACC" w:rsidP="00255451">
      <w:pPr>
        <w:spacing w:line="240" w:lineRule="auto"/>
        <w:jc w:val="both"/>
        <w:rPr>
          <w:rFonts w:cs="Times New Roman"/>
          <w:sz w:val="20"/>
          <w:szCs w:val="20"/>
        </w:rPr>
      </w:pPr>
      <w:r>
        <w:rPr>
          <w:rFonts w:cs="Times New Roman"/>
          <w:sz w:val="20"/>
          <w:szCs w:val="20"/>
        </w:rPr>
        <w:t xml:space="preserve">The authors </w:t>
      </w:r>
      <w:r w:rsidR="00820A8B">
        <w:rPr>
          <w:rFonts w:cs="Times New Roman"/>
          <w:sz w:val="20"/>
          <w:szCs w:val="20"/>
        </w:rPr>
        <w:t>wish</w:t>
      </w:r>
      <w:r>
        <w:rPr>
          <w:rFonts w:cs="Times New Roman"/>
          <w:sz w:val="20"/>
          <w:szCs w:val="20"/>
        </w:rPr>
        <w:t xml:space="preserve"> to acknowledge the Council for Geosciences for the time provided to carry </w:t>
      </w:r>
      <w:r w:rsidR="00E6542A">
        <w:rPr>
          <w:rFonts w:cs="Times New Roman"/>
          <w:sz w:val="20"/>
          <w:szCs w:val="20"/>
        </w:rPr>
        <w:t xml:space="preserve">out </w:t>
      </w:r>
      <w:r>
        <w:rPr>
          <w:rFonts w:cs="Times New Roman"/>
          <w:sz w:val="20"/>
          <w:szCs w:val="20"/>
        </w:rPr>
        <w:t>the work</w:t>
      </w:r>
    </w:p>
    <w:p w14:paraId="5D9B6BAE" w14:textId="6E74BE2F" w:rsidR="00926ACC" w:rsidRDefault="00926ACC" w:rsidP="00255451">
      <w:pPr>
        <w:spacing w:line="240" w:lineRule="auto"/>
        <w:jc w:val="both"/>
        <w:rPr>
          <w:rFonts w:cs="Times New Roman"/>
          <w:sz w:val="20"/>
          <w:szCs w:val="20"/>
        </w:rPr>
      </w:pPr>
      <w:r>
        <w:rPr>
          <w:rFonts w:cs="Times New Roman"/>
          <w:b/>
          <w:sz w:val="20"/>
          <w:szCs w:val="20"/>
        </w:rPr>
        <w:t>Funding</w:t>
      </w:r>
    </w:p>
    <w:p w14:paraId="0FB1049E" w14:textId="79D26555" w:rsidR="00926ACC" w:rsidRDefault="00926ACC" w:rsidP="00255451">
      <w:pPr>
        <w:spacing w:line="240" w:lineRule="auto"/>
        <w:jc w:val="both"/>
        <w:rPr>
          <w:rFonts w:cs="Times New Roman"/>
          <w:sz w:val="20"/>
          <w:szCs w:val="20"/>
        </w:rPr>
      </w:pPr>
      <w:r>
        <w:rPr>
          <w:rFonts w:cs="Times New Roman"/>
          <w:sz w:val="20"/>
          <w:szCs w:val="20"/>
        </w:rPr>
        <w:t>This work was performed under the PhD funding bursary sponsored by the CGS.</w:t>
      </w:r>
    </w:p>
    <w:p w14:paraId="1786544F" w14:textId="0FA70374" w:rsidR="00926ACC" w:rsidRDefault="00FA1966" w:rsidP="00255451">
      <w:pPr>
        <w:spacing w:line="240" w:lineRule="auto"/>
        <w:jc w:val="both"/>
        <w:rPr>
          <w:rFonts w:cs="Times New Roman"/>
          <w:sz w:val="20"/>
          <w:szCs w:val="20"/>
        </w:rPr>
      </w:pPr>
      <w:r>
        <w:rPr>
          <w:rFonts w:cs="Times New Roman"/>
          <w:b/>
          <w:sz w:val="20"/>
          <w:szCs w:val="20"/>
        </w:rPr>
        <w:t>Credit</w:t>
      </w:r>
    </w:p>
    <w:p w14:paraId="484A6668" w14:textId="4488CA85" w:rsidR="00FA1966" w:rsidRPr="00D4669C" w:rsidRDefault="00FA1966" w:rsidP="00D4669C">
      <w:pPr>
        <w:jc w:val="both"/>
        <w:rPr>
          <w:sz w:val="20"/>
          <w:szCs w:val="20"/>
        </w:rPr>
      </w:pPr>
      <w:r w:rsidRPr="00D4669C">
        <w:rPr>
          <w:sz w:val="20"/>
          <w:szCs w:val="20"/>
        </w:rPr>
        <w:t>BM: Conceptualisation, Methodology, Software, Investigation, Validation, Writing, Formal analysis, Visualisation. VM: Conceptualisation, Supervision, Software, Project Management, Writing. RJD: Supervision, Writing</w:t>
      </w:r>
    </w:p>
    <w:p w14:paraId="153C3469" w14:textId="77777777" w:rsidR="00FA1966" w:rsidRPr="00FA1966" w:rsidRDefault="00FA1966" w:rsidP="00255451">
      <w:pPr>
        <w:spacing w:line="240" w:lineRule="auto"/>
        <w:jc w:val="both"/>
        <w:rPr>
          <w:rFonts w:cs="Times New Roman"/>
          <w:sz w:val="20"/>
          <w:szCs w:val="20"/>
        </w:rPr>
      </w:pPr>
    </w:p>
    <w:p w14:paraId="6C452595" w14:textId="77777777" w:rsidR="008F007D" w:rsidRPr="00927BAD" w:rsidRDefault="008F007D" w:rsidP="008F007D">
      <w:pPr>
        <w:spacing w:line="240" w:lineRule="auto"/>
        <w:rPr>
          <w:rFonts w:cs="Times New Roman"/>
          <w:b/>
          <w:bCs/>
          <w:iCs/>
          <w:sz w:val="20"/>
          <w:szCs w:val="20"/>
          <w:lang w:val="en-ZA"/>
        </w:rPr>
      </w:pPr>
      <w:r w:rsidRPr="00927BAD">
        <w:rPr>
          <w:rFonts w:cs="Times New Roman"/>
          <w:b/>
          <w:bCs/>
          <w:iCs/>
          <w:sz w:val="20"/>
          <w:szCs w:val="20"/>
          <w:lang w:val="en-ZA"/>
        </w:rPr>
        <w:t>References</w:t>
      </w:r>
    </w:p>
    <w:p w14:paraId="33BFA749" w14:textId="605294C2"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Akkar, S., Sandıkkaya, M.A. and Bommer, J.J., </w:t>
      </w:r>
      <w:r w:rsidR="00820A8B">
        <w:rPr>
          <w:rFonts w:cs="Times New Roman"/>
          <w:sz w:val="20"/>
          <w:szCs w:val="20"/>
          <w:lang w:val="en-ZA"/>
        </w:rPr>
        <w:t>(</w:t>
      </w:r>
      <w:r w:rsidRPr="00927BAD">
        <w:rPr>
          <w:rFonts w:cs="Times New Roman"/>
          <w:sz w:val="20"/>
          <w:szCs w:val="20"/>
          <w:lang w:val="en-ZA"/>
        </w:rPr>
        <w:t>2014</w:t>
      </w:r>
      <w:r w:rsidR="00820A8B">
        <w:rPr>
          <w:rFonts w:cs="Times New Roman"/>
          <w:sz w:val="20"/>
          <w:szCs w:val="20"/>
          <w:lang w:val="en-ZA"/>
        </w:rPr>
        <w:t>)</w:t>
      </w:r>
      <w:r w:rsidRPr="00927BAD">
        <w:rPr>
          <w:rFonts w:cs="Times New Roman"/>
          <w:sz w:val="20"/>
          <w:szCs w:val="20"/>
          <w:lang w:val="en-ZA"/>
        </w:rPr>
        <w:t>. Empirical ground-motion models for point-and extended-source crustal earthquake scenarios in Europe and the Middle East. </w:t>
      </w:r>
      <w:r w:rsidRPr="00927BAD">
        <w:rPr>
          <w:rFonts w:cs="Times New Roman"/>
          <w:i/>
          <w:iCs/>
          <w:sz w:val="20"/>
          <w:szCs w:val="20"/>
          <w:lang w:val="en-ZA"/>
        </w:rPr>
        <w:t>Bulletin of earthquake engineering</w:t>
      </w:r>
      <w:r w:rsidRPr="00927BAD">
        <w:rPr>
          <w:rFonts w:cs="Times New Roman"/>
          <w:sz w:val="20"/>
          <w:szCs w:val="20"/>
          <w:lang w:val="en-ZA"/>
        </w:rPr>
        <w:t>, </w:t>
      </w:r>
      <w:r w:rsidRPr="00927BAD">
        <w:rPr>
          <w:rFonts w:cs="Times New Roman"/>
          <w:i/>
          <w:iCs/>
          <w:sz w:val="20"/>
          <w:szCs w:val="20"/>
          <w:lang w:val="en-ZA"/>
        </w:rPr>
        <w:t>12</w:t>
      </w:r>
      <w:r w:rsidRPr="00927BAD">
        <w:rPr>
          <w:rFonts w:cs="Times New Roman"/>
          <w:sz w:val="20"/>
          <w:szCs w:val="20"/>
          <w:lang w:val="en-ZA"/>
        </w:rPr>
        <w:t>(1), pp.359-387.</w:t>
      </w:r>
    </w:p>
    <w:p w14:paraId="5A81738F" w14:textId="391966B5"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Atkinson, G.M., </w:t>
      </w:r>
      <w:r w:rsidR="00820A8B">
        <w:rPr>
          <w:rFonts w:cs="Times New Roman"/>
          <w:sz w:val="20"/>
          <w:szCs w:val="20"/>
          <w:lang w:val="en-ZA"/>
        </w:rPr>
        <w:t>(</w:t>
      </w:r>
      <w:r w:rsidRPr="00927BAD">
        <w:rPr>
          <w:rFonts w:cs="Times New Roman"/>
          <w:sz w:val="20"/>
          <w:szCs w:val="20"/>
          <w:lang w:val="en-ZA"/>
        </w:rPr>
        <w:t>2015</w:t>
      </w:r>
      <w:r w:rsidR="00820A8B">
        <w:rPr>
          <w:rFonts w:cs="Times New Roman"/>
          <w:sz w:val="20"/>
          <w:szCs w:val="20"/>
          <w:lang w:val="en-ZA"/>
        </w:rPr>
        <w:t>)</w:t>
      </w:r>
      <w:r w:rsidRPr="00927BAD">
        <w:rPr>
          <w:rFonts w:cs="Times New Roman"/>
          <w:sz w:val="20"/>
          <w:szCs w:val="20"/>
          <w:lang w:val="en-ZA"/>
        </w:rPr>
        <w:t>. Ground‐motion prediction equation for small‐to‐moderate events at short hypocentral distances, with application to induced‐seismicity hazards. </w:t>
      </w:r>
      <w:r w:rsidRPr="00927BAD">
        <w:rPr>
          <w:rFonts w:cs="Times New Roman"/>
          <w:i/>
          <w:iCs/>
          <w:sz w:val="20"/>
          <w:szCs w:val="20"/>
          <w:lang w:val="en-ZA"/>
        </w:rPr>
        <w:t>Bulletin of the Seismological Society of America</w:t>
      </w:r>
      <w:r w:rsidRPr="00927BAD">
        <w:rPr>
          <w:rFonts w:cs="Times New Roman"/>
          <w:sz w:val="20"/>
          <w:szCs w:val="20"/>
          <w:lang w:val="en-ZA"/>
        </w:rPr>
        <w:t>, </w:t>
      </w:r>
      <w:r w:rsidRPr="00927BAD">
        <w:rPr>
          <w:rFonts w:cs="Times New Roman"/>
          <w:i/>
          <w:iCs/>
          <w:sz w:val="20"/>
          <w:szCs w:val="20"/>
          <w:lang w:val="en-ZA"/>
        </w:rPr>
        <w:t>105</w:t>
      </w:r>
      <w:r w:rsidRPr="00927BAD">
        <w:rPr>
          <w:rFonts w:cs="Times New Roman"/>
          <w:sz w:val="20"/>
          <w:szCs w:val="20"/>
          <w:lang w:val="en-ZA"/>
        </w:rPr>
        <w:t>(2A), pp.981-992.</w:t>
      </w:r>
    </w:p>
    <w:p w14:paraId="333B1F33" w14:textId="77777777"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Atkinson, G.M. and D.M., Boore (2006). Earthquake ground-motion prediction equations for eastern North America, </w:t>
      </w:r>
      <w:r w:rsidRPr="00927BAD">
        <w:rPr>
          <w:rFonts w:cs="Times New Roman"/>
          <w:i/>
          <w:iCs/>
          <w:sz w:val="20"/>
          <w:szCs w:val="20"/>
          <w:lang w:val="en-ZA"/>
        </w:rPr>
        <w:t>Bulletin of the Seismological Society of America</w:t>
      </w:r>
      <w:r w:rsidRPr="00927BAD">
        <w:rPr>
          <w:rFonts w:cs="Times New Roman"/>
          <w:sz w:val="20"/>
          <w:szCs w:val="20"/>
          <w:lang w:val="en-ZA"/>
        </w:rPr>
        <w:t xml:space="preserve">, </w:t>
      </w:r>
      <w:r w:rsidRPr="00927BAD">
        <w:rPr>
          <w:rFonts w:cs="Times New Roman"/>
          <w:b/>
          <w:bCs/>
          <w:sz w:val="20"/>
          <w:szCs w:val="20"/>
          <w:lang w:val="en-ZA"/>
        </w:rPr>
        <w:t>96</w:t>
      </w:r>
      <w:r w:rsidRPr="00927BAD">
        <w:rPr>
          <w:rFonts w:cs="Times New Roman"/>
          <w:bCs/>
          <w:sz w:val="20"/>
          <w:szCs w:val="20"/>
          <w:lang w:val="en-ZA"/>
        </w:rPr>
        <w:t>(6)</w:t>
      </w:r>
      <w:r w:rsidRPr="00927BAD">
        <w:rPr>
          <w:rFonts w:cs="Times New Roman"/>
          <w:sz w:val="20"/>
          <w:szCs w:val="20"/>
          <w:lang w:val="en-ZA"/>
        </w:rPr>
        <w:t xml:space="preserve">, 2181–2205, doi: 10.1785/0120050245. </w:t>
      </w:r>
    </w:p>
    <w:p w14:paraId="7E28B0BB" w14:textId="41BCE8F5"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Atkinson, G.M. (2008). Ground-motion prediction equations for eastern North America from a referenced empirical approach: Implications for epistemic uncertainty, </w:t>
      </w:r>
      <w:r w:rsidRPr="00927BAD">
        <w:rPr>
          <w:rFonts w:cs="Times New Roman"/>
          <w:i/>
          <w:iCs/>
          <w:sz w:val="20"/>
          <w:szCs w:val="20"/>
          <w:lang w:val="en-ZA"/>
        </w:rPr>
        <w:t>Bulletin of the Seismological Society of America</w:t>
      </w:r>
      <w:r w:rsidRPr="00927BAD">
        <w:rPr>
          <w:rFonts w:cs="Times New Roman"/>
          <w:sz w:val="20"/>
          <w:szCs w:val="20"/>
          <w:lang w:val="en-ZA"/>
        </w:rPr>
        <w:t xml:space="preserve">, </w:t>
      </w:r>
      <w:r w:rsidRPr="00927BAD">
        <w:rPr>
          <w:rFonts w:cs="Times New Roman"/>
          <w:b/>
          <w:bCs/>
          <w:sz w:val="20"/>
          <w:szCs w:val="20"/>
          <w:lang w:val="en-ZA"/>
        </w:rPr>
        <w:t>98</w:t>
      </w:r>
      <w:r w:rsidRPr="00927BAD">
        <w:rPr>
          <w:rFonts w:cs="Times New Roman"/>
          <w:bCs/>
          <w:sz w:val="20"/>
          <w:szCs w:val="20"/>
          <w:lang w:val="en-ZA"/>
        </w:rPr>
        <w:t>(3)</w:t>
      </w:r>
      <w:r w:rsidRPr="00927BAD">
        <w:rPr>
          <w:rFonts w:cs="Times New Roman"/>
          <w:sz w:val="20"/>
          <w:szCs w:val="20"/>
          <w:lang w:val="en-ZA"/>
        </w:rPr>
        <w:t xml:space="preserve">, </w:t>
      </w:r>
      <w:r w:rsidR="003A5E34">
        <w:rPr>
          <w:rFonts w:cs="Times New Roman"/>
          <w:sz w:val="20"/>
          <w:szCs w:val="20"/>
          <w:lang w:val="en-ZA"/>
        </w:rPr>
        <w:t>pp.</w:t>
      </w:r>
      <w:r w:rsidRPr="00927BAD">
        <w:rPr>
          <w:rFonts w:cs="Times New Roman"/>
          <w:sz w:val="20"/>
          <w:szCs w:val="20"/>
          <w:lang w:val="en-ZA"/>
        </w:rPr>
        <w:t>1304–1318, doi: 10.1785/0120070199.</w:t>
      </w:r>
    </w:p>
    <w:p w14:paraId="7A10E187" w14:textId="77777777"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Atkinson, G.M. and D.M., Boore (2011). Modifications to existing ground-motion prediction equations in light of new data, </w:t>
      </w:r>
      <w:r w:rsidRPr="00927BAD">
        <w:rPr>
          <w:rFonts w:cs="Times New Roman"/>
          <w:i/>
          <w:iCs/>
          <w:sz w:val="20"/>
          <w:szCs w:val="20"/>
          <w:lang w:val="en-ZA"/>
        </w:rPr>
        <w:t>Bulletin of the Seismological Society of America</w:t>
      </w:r>
      <w:r w:rsidRPr="00927BAD">
        <w:rPr>
          <w:rFonts w:cs="Times New Roman"/>
          <w:sz w:val="20"/>
          <w:szCs w:val="20"/>
          <w:lang w:val="en-ZA"/>
        </w:rPr>
        <w:t xml:space="preserve">, </w:t>
      </w:r>
      <w:r w:rsidRPr="00927BAD">
        <w:rPr>
          <w:rFonts w:cs="Times New Roman"/>
          <w:b/>
          <w:bCs/>
          <w:sz w:val="20"/>
          <w:szCs w:val="20"/>
          <w:lang w:val="en-ZA"/>
        </w:rPr>
        <w:t>101</w:t>
      </w:r>
      <w:r w:rsidRPr="00927BAD">
        <w:rPr>
          <w:rFonts w:cs="Times New Roman"/>
          <w:bCs/>
          <w:sz w:val="20"/>
          <w:szCs w:val="20"/>
          <w:lang w:val="en-ZA"/>
        </w:rPr>
        <w:t>(3)</w:t>
      </w:r>
      <w:r w:rsidRPr="00927BAD">
        <w:rPr>
          <w:rFonts w:cs="Times New Roman"/>
          <w:sz w:val="20"/>
          <w:szCs w:val="20"/>
          <w:lang w:val="en-ZA"/>
        </w:rPr>
        <w:t xml:space="preserve">, 1121-1135, doi: 10.1785/0120100270. </w:t>
      </w:r>
    </w:p>
    <w:p w14:paraId="74A8F1F3" w14:textId="44329DAF"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Bommer, J. J., K. J. Coppersmith, R. T. Coppersmith, K. L. Hanson, A. Mangongolo, J. Neveling, E. M. Rathje, A. Rodriguez-Marek, F. Scherbaum, R. Shelembe, P. J. Stafford, and F. O. Strasser 2015. A SSHAC Level 3 Probabilistic Seismic Hazard Analysis for a New-Build Nuclear Site in South Africa, </w:t>
      </w:r>
      <w:r w:rsidRPr="00927BAD">
        <w:rPr>
          <w:rFonts w:cs="Times New Roman"/>
          <w:i/>
          <w:sz w:val="20"/>
          <w:szCs w:val="20"/>
          <w:lang w:val="en-ZA"/>
        </w:rPr>
        <w:t>Earthquake Spectra</w:t>
      </w:r>
      <w:r w:rsidRPr="00927BAD">
        <w:rPr>
          <w:rFonts w:cs="Times New Roman"/>
          <w:sz w:val="20"/>
          <w:szCs w:val="20"/>
          <w:lang w:val="en-ZA"/>
        </w:rPr>
        <w:t xml:space="preserve">, </w:t>
      </w:r>
      <w:r w:rsidRPr="00927BAD">
        <w:rPr>
          <w:rFonts w:cs="Times New Roman"/>
          <w:b/>
          <w:sz w:val="20"/>
          <w:szCs w:val="20"/>
          <w:lang w:val="en-ZA"/>
        </w:rPr>
        <w:t>31</w:t>
      </w:r>
      <w:r w:rsidRPr="00927BAD">
        <w:rPr>
          <w:rFonts w:cs="Times New Roman"/>
          <w:sz w:val="20"/>
          <w:szCs w:val="20"/>
          <w:lang w:val="en-ZA"/>
        </w:rPr>
        <w:t xml:space="preserve">(2), </w:t>
      </w:r>
      <w:r w:rsidR="003A5E34">
        <w:rPr>
          <w:rFonts w:cs="Times New Roman"/>
          <w:sz w:val="20"/>
          <w:szCs w:val="20"/>
          <w:lang w:val="en-ZA"/>
        </w:rPr>
        <w:t>pp.</w:t>
      </w:r>
      <w:r w:rsidRPr="00927BAD">
        <w:rPr>
          <w:rFonts w:cs="Times New Roman"/>
          <w:sz w:val="20"/>
          <w:szCs w:val="20"/>
          <w:lang w:val="en-ZA"/>
        </w:rPr>
        <w:t>661–698.</w:t>
      </w:r>
    </w:p>
    <w:p w14:paraId="1056E580" w14:textId="6F7565DC"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Bommer, J.J., S. Akkar &amp; Ö. Kale (2011). A model for vertical-to-horizontal response spectral ratios for Europe and the Middle East. </w:t>
      </w:r>
      <w:r w:rsidRPr="00927BAD">
        <w:rPr>
          <w:rFonts w:cs="Times New Roman"/>
          <w:i/>
          <w:iCs/>
          <w:sz w:val="20"/>
          <w:szCs w:val="20"/>
          <w:lang w:val="en-ZA"/>
        </w:rPr>
        <w:t xml:space="preserve">Bulletin of the Seismological Society of America </w:t>
      </w:r>
      <w:r w:rsidRPr="00927BAD">
        <w:rPr>
          <w:rFonts w:cs="Times New Roman"/>
          <w:b/>
          <w:bCs/>
          <w:sz w:val="20"/>
          <w:szCs w:val="20"/>
          <w:lang w:val="en-ZA"/>
        </w:rPr>
        <w:t>101</w:t>
      </w:r>
      <w:r w:rsidRPr="00927BAD">
        <w:rPr>
          <w:rFonts w:cs="Times New Roman"/>
          <w:sz w:val="20"/>
          <w:szCs w:val="20"/>
          <w:lang w:val="en-ZA"/>
        </w:rPr>
        <w:t xml:space="preserve">(4), </w:t>
      </w:r>
      <w:r w:rsidR="003A5E34">
        <w:rPr>
          <w:rFonts w:cs="Times New Roman"/>
          <w:sz w:val="20"/>
          <w:szCs w:val="20"/>
          <w:lang w:val="en-ZA"/>
        </w:rPr>
        <w:t>pp.</w:t>
      </w:r>
      <w:r w:rsidRPr="00927BAD">
        <w:rPr>
          <w:rFonts w:cs="Times New Roman"/>
          <w:sz w:val="20"/>
          <w:szCs w:val="20"/>
          <w:lang w:val="en-ZA"/>
        </w:rPr>
        <w:t xml:space="preserve">1783-1806. </w:t>
      </w:r>
    </w:p>
    <w:p w14:paraId="70AF1A77" w14:textId="11804126" w:rsidR="008F007D" w:rsidRPr="00927BAD" w:rsidRDefault="008F007D" w:rsidP="00D4669C">
      <w:pPr>
        <w:spacing w:line="240" w:lineRule="auto"/>
        <w:jc w:val="both"/>
        <w:rPr>
          <w:rFonts w:cs="Times New Roman"/>
          <w:i/>
          <w:iCs/>
          <w:sz w:val="20"/>
          <w:szCs w:val="20"/>
          <w:lang w:val="en-ZA"/>
        </w:rPr>
      </w:pPr>
      <w:r w:rsidRPr="00927BAD">
        <w:rPr>
          <w:rFonts w:cs="Times New Roman"/>
          <w:sz w:val="20"/>
          <w:szCs w:val="20"/>
          <w:lang w:val="en-ZA"/>
        </w:rPr>
        <w:t xml:space="preserve">Bommer, J.J., J. Douglas &amp; F.O. Strasser (2003). Style-of-faulting in ground motion prediction equations. </w:t>
      </w:r>
      <w:r w:rsidRPr="00927BAD">
        <w:rPr>
          <w:rFonts w:cs="Times New Roman"/>
          <w:i/>
          <w:iCs/>
          <w:sz w:val="20"/>
          <w:szCs w:val="20"/>
          <w:lang w:val="en-ZA"/>
        </w:rPr>
        <w:t xml:space="preserve">Bulletin of Earthquake Engineering </w:t>
      </w:r>
      <w:r w:rsidRPr="00927BAD">
        <w:rPr>
          <w:rFonts w:cs="Times New Roman"/>
          <w:b/>
          <w:bCs/>
          <w:sz w:val="20"/>
          <w:szCs w:val="20"/>
          <w:lang w:val="en-ZA"/>
        </w:rPr>
        <w:t>1</w:t>
      </w:r>
      <w:r w:rsidRPr="00927BAD">
        <w:rPr>
          <w:rFonts w:cs="Times New Roman"/>
          <w:sz w:val="20"/>
          <w:szCs w:val="20"/>
          <w:lang w:val="en-ZA"/>
        </w:rPr>
        <w:t xml:space="preserve">(2), </w:t>
      </w:r>
      <w:r w:rsidR="003A5E34">
        <w:rPr>
          <w:rFonts w:cs="Times New Roman"/>
          <w:sz w:val="20"/>
          <w:szCs w:val="20"/>
          <w:lang w:val="en-ZA"/>
        </w:rPr>
        <w:t>pp.</w:t>
      </w:r>
      <w:r w:rsidRPr="00927BAD">
        <w:rPr>
          <w:rFonts w:cs="Times New Roman"/>
          <w:sz w:val="20"/>
          <w:szCs w:val="20"/>
          <w:lang w:val="en-ZA"/>
        </w:rPr>
        <w:t>171-203</w:t>
      </w:r>
      <w:r w:rsidRPr="00927BAD">
        <w:rPr>
          <w:rFonts w:cs="Times New Roman"/>
          <w:i/>
          <w:iCs/>
          <w:sz w:val="20"/>
          <w:szCs w:val="20"/>
          <w:lang w:val="en-ZA"/>
        </w:rPr>
        <w:t xml:space="preserve">. </w:t>
      </w:r>
    </w:p>
    <w:p w14:paraId="08974590" w14:textId="2D86CE8E"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Bommer, J. J., Strasser, F. O., Pagani, M., and Monelli, D., </w:t>
      </w:r>
      <w:r w:rsidR="00820A8B">
        <w:rPr>
          <w:rFonts w:cs="Times New Roman"/>
          <w:sz w:val="20"/>
          <w:szCs w:val="20"/>
          <w:lang w:val="en-ZA"/>
        </w:rPr>
        <w:t>(</w:t>
      </w:r>
      <w:r w:rsidRPr="00927BAD">
        <w:rPr>
          <w:rFonts w:cs="Times New Roman"/>
          <w:sz w:val="20"/>
          <w:szCs w:val="20"/>
          <w:lang w:val="en-ZA"/>
        </w:rPr>
        <w:t>2013</w:t>
      </w:r>
      <w:r w:rsidR="00820A8B">
        <w:rPr>
          <w:rFonts w:cs="Times New Roman"/>
          <w:sz w:val="20"/>
          <w:szCs w:val="20"/>
          <w:lang w:val="en-ZA"/>
        </w:rPr>
        <w:t>)</w:t>
      </w:r>
      <w:r w:rsidRPr="00927BAD">
        <w:rPr>
          <w:rFonts w:cs="Times New Roman"/>
          <w:sz w:val="20"/>
          <w:szCs w:val="20"/>
          <w:lang w:val="en-ZA"/>
        </w:rPr>
        <w:t xml:space="preserve">. Quality assurance for logic-tree implementation in probabilistic seismic hazard analysis for nuclear applications: A practical example, </w:t>
      </w:r>
      <w:r w:rsidRPr="00927BAD">
        <w:rPr>
          <w:rFonts w:cs="Times New Roman"/>
          <w:i/>
          <w:sz w:val="20"/>
          <w:szCs w:val="20"/>
          <w:lang w:val="en-ZA"/>
        </w:rPr>
        <w:t>Seismological Research Letters,</w:t>
      </w:r>
      <w:r w:rsidRPr="00927BAD">
        <w:rPr>
          <w:rFonts w:cs="Times New Roman"/>
          <w:b/>
          <w:sz w:val="20"/>
          <w:szCs w:val="20"/>
          <w:lang w:val="en-ZA"/>
        </w:rPr>
        <w:t xml:space="preserve"> 84</w:t>
      </w:r>
      <w:r w:rsidRPr="00927BAD">
        <w:rPr>
          <w:rFonts w:cs="Times New Roman"/>
          <w:sz w:val="20"/>
          <w:szCs w:val="20"/>
          <w:lang w:val="en-ZA"/>
        </w:rPr>
        <w:t xml:space="preserve">, </w:t>
      </w:r>
      <w:r w:rsidR="003A5E34">
        <w:rPr>
          <w:rFonts w:cs="Times New Roman"/>
          <w:sz w:val="20"/>
          <w:szCs w:val="20"/>
          <w:lang w:val="en-ZA"/>
        </w:rPr>
        <w:t>pp.</w:t>
      </w:r>
      <w:r w:rsidRPr="00927BAD">
        <w:rPr>
          <w:rFonts w:cs="Times New Roman"/>
          <w:sz w:val="20"/>
          <w:szCs w:val="20"/>
          <w:lang w:val="en-ZA"/>
        </w:rPr>
        <w:t>938–945.</w:t>
      </w:r>
    </w:p>
    <w:p w14:paraId="2E546261" w14:textId="56F51701"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Bommer J. J., Scherbaum F., Bungum H., Cotton F., Sabetta F. and Abrahamson N. A., </w:t>
      </w:r>
      <w:r w:rsidR="00820A8B">
        <w:rPr>
          <w:rFonts w:cs="Times New Roman"/>
          <w:sz w:val="20"/>
          <w:szCs w:val="20"/>
          <w:lang w:val="en-ZA"/>
        </w:rPr>
        <w:t>(</w:t>
      </w:r>
      <w:r w:rsidRPr="00927BAD">
        <w:rPr>
          <w:rFonts w:cs="Times New Roman"/>
          <w:sz w:val="20"/>
          <w:szCs w:val="20"/>
          <w:lang w:val="en-ZA"/>
        </w:rPr>
        <w:t>2005</w:t>
      </w:r>
      <w:r w:rsidR="00820A8B">
        <w:rPr>
          <w:rFonts w:cs="Times New Roman"/>
          <w:sz w:val="20"/>
          <w:szCs w:val="20"/>
          <w:lang w:val="en-ZA"/>
        </w:rPr>
        <w:t>)</w:t>
      </w:r>
      <w:r w:rsidRPr="00927BAD">
        <w:rPr>
          <w:rFonts w:cs="Times New Roman"/>
          <w:sz w:val="20"/>
          <w:szCs w:val="20"/>
          <w:lang w:val="en-ZA"/>
        </w:rPr>
        <w:t xml:space="preserve">. On the use of logic trees for ground motion prediction equations, </w:t>
      </w:r>
      <w:r w:rsidRPr="00927BAD">
        <w:rPr>
          <w:rFonts w:cs="Times New Roman"/>
          <w:i/>
          <w:sz w:val="20"/>
          <w:szCs w:val="20"/>
          <w:lang w:val="en-ZA"/>
        </w:rPr>
        <w:t>Bulletin of the Seismological Society of America</w:t>
      </w:r>
      <w:r w:rsidRPr="00927BAD">
        <w:rPr>
          <w:rFonts w:cs="Times New Roman"/>
          <w:sz w:val="20"/>
          <w:szCs w:val="20"/>
          <w:lang w:val="en-ZA"/>
        </w:rPr>
        <w:t>, 95, pp. 377-389. doi: 10.1785/0120040073.</w:t>
      </w:r>
    </w:p>
    <w:p w14:paraId="764EFE7F" w14:textId="42033FDA"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Bommer, J.J., Douglas, J., Scherbaum, F., Cotton, F., Bungum, H. and Fäh, D., </w:t>
      </w:r>
      <w:r w:rsidR="00820A8B">
        <w:rPr>
          <w:rFonts w:cs="Times New Roman"/>
          <w:sz w:val="20"/>
          <w:szCs w:val="20"/>
          <w:lang w:val="en-ZA"/>
        </w:rPr>
        <w:t>(</w:t>
      </w:r>
      <w:r w:rsidRPr="00927BAD">
        <w:rPr>
          <w:rFonts w:cs="Times New Roman"/>
          <w:sz w:val="20"/>
          <w:szCs w:val="20"/>
          <w:lang w:val="en-ZA"/>
        </w:rPr>
        <w:t>2010</w:t>
      </w:r>
      <w:r w:rsidR="00820A8B">
        <w:rPr>
          <w:rFonts w:cs="Times New Roman"/>
          <w:sz w:val="20"/>
          <w:szCs w:val="20"/>
          <w:lang w:val="en-ZA"/>
        </w:rPr>
        <w:t>)</w:t>
      </w:r>
      <w:r w:rsidRPr="00927BAD">
        <w:rPr>
          <w:rFonts w:cs="Times New Roman"/>
          <w:sz w:val="20"/>
          <w:szCs w:val="20"/>
          <w:lang w:val="en-ZA"/>
        </w:rPr>
        <w:t>. On the selection of ground-motion prediction equations for seismic hazard analysis. </w:t>
      </w:r>
      <w:r w:rsidRPr="00927BAD">
        <w:rPr>
          <w:rFonts w:cs="Times New Roman"/>
          <w:i/>
          <w:iCs/>
          <w:sz w:val="20"/>
          <w:szCs w:val="20"/>
          <w:lang w:val="en-ZA"/>
        </w:rPr>
        <w:t>Seismological Research Letters</w:t>
      </w:r>
      <w:r w:rsidRPr="00927BAD">
        <w:rPr>
          <w:rFonts w:cs="Times New Roman"/>
          <w:sz w:val="20"/>
          <w:szCs w:val="20"/>
          <w:lang w:val="en-ZA"/>
        </w:rPr>
        <w:t>, </w:t>
      </w:r>
      <w:r w:rsidRPr="00927BAD">
        <w:rPr>
          <w:rFonts w:cs="Times New Roman"/>
          <w:i/>
          <w:iCs/>
          <w:sz w:val="20"/>
          <w:szCs w:val="20"/>
          <w:lang w:val="en-ZA"/>
        </w:rPr>
        <w:t>81</w:t>
      </w:r>
      <w:r w:rsidRPr="00927BAD">
        <w:rPr>
          <w:rFonts w:cs="Times New Roman"/>
          <w:sz w:val="20"/>
          <w:szCs w:val="20"/>
          <w:lang w:val="en-ZA"/>
        </w:rPr>
        <w:t>(5), pp.783-793.</w:t>
      </w:r>
    </w:p>
    <w:p w14:paraId="4F86577B" w14:textId="530F47D6"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Boore D.M., Stewart J.P., Seyhan E., Atkinson G.M., </w:t>
      </w:r>
      <w:r w:rsidR="00820A8B">
        <w:rPr>
          <w:rFonts w:cs="Times New Roman"/>
          <w:sz w:val="20"/>
          <w:szCs w:val="20"/>
          <w:lang w:val="en-ZA"/>
        </w:rPr>
        <w:t>(</w:t>
      </w:r>
      <w:r w:rsidRPr="00927BAD">
        <w:rPr>
          <w:rFonts w:cs="Times New Roman"/>
          <w:sz w:val="20"/>
          <w:szCs w:val="20"/>
          <w:lang w:val="en-ZA"/>
        </w:rPr>
        <w:t>2014</w:t>
      </w:r>
      <w:r w:rsidR="00820A8B">
        <w:rPr>
          <w:rFonts w:cs="Times New Roman"/>
          <w:sz w:val="20"/>
          <w:szCs w:val="20"/>
          <w:lang w:val="en-ZA"/>
        </w:rPr>
        <w:t>)</w:t>
      </w:r>
      <w:r w:rsidRPr="00927BAD">
        <w:rPr>
          <w:rFonts w:cs="Times New Roman"/>
          <w:sz w:val="20"/>
          <w:szCs w:val="20"/>
          <w:lang w:val="en-ZA"/>
        </w:rPr>
        <w:t xml:space="preserve">. NGA‐West2 Equations for Predicting PGA, PGV, and 5% Damped PSA for Shallow Crustal Earthquakes. </w:t>
      </w:r>
      <w:r w:rsidRPr="00927BAD">
        <w:rPr>
          <w:rFonts w:cs="Times New Roman"/>
          <w:i/>
          <w:sz w:val="20"/>
          <w:szCs w:val="20"/>
          <w:lang w:val="en-ZA"/>
        </w:rPr>
        <w:t>Earthquake Spectra</w:t>
      </w:r>
      <w:r w:rsidRPr="00927BAD">
        <w:rPr>
          <w:rFonts w:cs="Times New Roman"/>
          <w:sz w:val="20"/>
          <w:szCs w:val="20"/>
          <w:lang w:val="en-ZA"/>
        </w:rPr>
        <w:t xml:space="preserve">, </w:t>
      </w:r>
      <w:r w:rsidRPr="00927BAD">
        <w:rPr>
          <w:rFonts w:cs="Times New Roman"/>
          <w:b/>
          <w:sz w:val="20"/>
          <w:szCs w:val="20"/>
          <w:lang w:val="en-ZA"/>
        </w:rPr>
        <w:t>30</w:t>
      </w:r>
      <w:r w:rsidRPr="00927BAD">
        <w:rPr>
          <w:rFonts w:cs="Times New Roman"/>
          <w:sz w:val="20"/>
          <w:szCs w:val="20"/>
          <w:lang w:val="en-ZA"/>
        </w:rPr>
        <w:t>(3)</w:t>
      </w:r>
      <w:r w:rsidR="003A5E34">
        <w:rPr>
          <w:rFonts w:cs="Times New Roman"/>
          <w:sz w:val="20"/>
          <w:szCs w:val="20"/>
          <w:lang w:val="en-ZA"/>
        </w:rPr>
        <w:t>,</w:t>
      </w:r>
      <w:r w:rsidRPr="00927BAD">
        <w:rPr>
          <w:rFonts w:cs="Times New Roman"/>
          <w:sz w:val="20"/>
          <w:szCs w:val="20"/>
          <w:lang w:val="en-ZA"/>
        </w:rPr>
        <w:t xml:space="preserve"> </w:t>
      </w:r>
      <w:r w:rsidR="003A5E34">
        <w:rPr>
          <w:rFonts w:cs="Times New Roman"/>
          <w:sz w:val="20"/>
          <w:szCs w:val="20"/>
          <w:lang w:val="en-ZA"/>
        </w:rPr>
        <w:t>pp.</w:t>
      </w:r>
      <w:r w:rsidRPr="00927BAD">
        <w:rPr>
          <w:rFonts w:cs="Times New Roman"/>
          <w:sz w:val="20"/>
          <w:szCs w:val="20"/>
          <w:lang w:val="en-ZA"/>
        </w:rPr>
        <w:t>1057‐1085</w:t>
      </w:r>
    </w:p>
    <w:p w14:paraId="6FD6E192" w14:textId="7686EA98"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Boore, D.M. and Atkinson, G.M., </w:t>
      </w:r>
      <w:r w:rsidR="00820A8B">
        <w:rPr>
          <w:rFonts w:cs="Times New Roman"/>
          <w:sz w:val="20"/>
          <w:szCs w:val="20"/>
          <w:lang w:val="en-ZA"/>
        </w:rPr>
        <w:t>(</w:t>
      </w:r>
      <w:r w:rsidRPr="00927BAD">
        <w:rPr>
          <w:rFonts w:cs="Times New Roman"/>
          <w:sz w:val="20"/>
          <w:szCs w:val="20"/>
          <w:lang w:val="en-ZA"/>
        </w:rPr>
        <w:t>2008</w:t>
      </w:r>
      <w:r w:rsidR="00820A8B">
        <w:rPr>
          <w:rFonts w:cs="Times New Roman"/>
          <w:sz w:val="20"/>
          <w:szCs w:val="20"/>
          <w:lang w:val="en-ZA"/>
        </w:rPr>
        <w:t>)</w:t>
      </w:r>
      <w:r w:rsidRPr="00927BAD">
        <w:rPr>
          <w:rFonts w:cs="Times New Roman"/>
          <w:sz w:val="20"/>
          <w:szCs w:val="20"/>
          <w:lang w:val="en-ZA"/>
        </w:rPr>
        <w:t>. Ground-motion prediction equations for the average horizontal component of PGA, PGV, and 5%-damped PSA at spectral periods between 0.01 s and 10.0 s. </w:t>
      </w:r>
      <w:r w:rsidRPr="00927BAD">
        <w:rPr>
          <w:rFonts w:cs="Times New Roman"/>
          <w:i/>
          <w:iCs/>
          <w:sz w:val="20"/>
          <w:szCs w:val="20"/>
          <w:lang w:val="en-ZA"/>
        </w:rPr>
        <w:t>Earthquake Spectra</w:t>
      </w:r>
      <w:r w:rsidRPr="00927BAD">
        <w:rPr>
          <w:rFonts w:cs="Times New Roman"/>
          <w:sz w:val="20"/>
          <w:szCs w:val="20"/>
          <w:lang w:val="en-ZA"/>
        </w:rPr>
        <w:t>, </w:t>
      </w:r>
      <w:r w:rsidRPr="00927BAD">
        <w:rPr>
          <w:rFonts w:cs="Times New Roman"/>
          <w:i/>
          <w:iCs/>
          <w:sz w:val="20"/>
          <w:szCs w:val="20"/>
          <w:lang w:val="en-ZA"/>
        </w:rPr>
        <w:t>24</w:t>
      </w:r>
      <w:r w:rsidRPr="00927BAD">
        <w:rPr>
          <w:rFonts w:cs="Times New Roman"/>
          <w:sz w:val="20"/>
          <w:szCs w:val="20"/>
          <w:lang w:val="en-ZA"/>
        </w:rPr>
        <w:t>(1), pp.99-138.</w:t>
      </w:r>
    </w:p>
    <w:p w14:paraId="2198A0B7" w14:textId="5ADB6C26"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lastRenderedPageBreak/>
        <w:t xml:space="preserve">Campbell, K.W. </w:t>
      </w:r>
      <w:r w:rsidR="00820A8B">
        <w:rPr>
          <w:rFonts w:cs="Times New Roman"/>
          <w:sz w:val="20"/>
          <w:szCs w:val="20"/>
          <w:lang w:val="en-ZA"/>
        </w:rPr>
        <w:t>(</w:t>
      </w:r>
      <w:r w:rsidRPr="00927BAD">
        <w:rPr>
          <w:rFonts w:cs="Times New Roman"/>
          <w:sz w:val="20"/>
          <w:szCs w:val="20"/>
          <w:lang w:val="en-ZA"/>
        </w:rPr>
        <w:t>2003</w:t>
      </w:r>
      <w:r w:rsidR="00820A8B">
        <w:rPr>
          <w:rFonts w:cs="Times New Roman"/>
          <w:sz w:val="20"/>
          <w:szCs w:val="20"/>
          <w:lang w:val="en-ZA"/>
        </w:rPr>
        <w:t>)</w:t>
      </w:r>
      <w:r w:rsidRPr="00927BAD">
        <w:rPr>
          <w:rFonts w:cs="Times New Roman"/>
          <w:sz w:val="20"/>
          <w:szCs w:val="20"/>
          <w:lang w:val="en-ZA"/>
        </w:rPr>
        <w:t xml:space="preserve">. Prediction of strong ground motion using the hybrid empirical method and its use in the development of ground motion (attenuation) relations in eastern North America, </w:t>
      </w:r>
      <w:r w:rsidRPr="00927BAD">
        <w:rPr>
          <w:rFonts w:cs="Times New Roman"/>
          <w:i/>
          <w:iCs/>
          <w:sz w:val="20"/>
          <w:szCs w:val="20"/>
          <w:lang w:val="en-ZA"/>
        </w:rPr>
        <w:t>Bulletin of the Seismological Society of America</w:t>
      </w:r>
      <w:r w:rsidRPr="00927BAD">
        <w:rPr>
          <w:rFonts w:cs="Times New Roman"/>
          <w:sz w:val="20"/>
          <w:szCs w:val="20"/>
          <w:lang w:val="en-ZA"/>
        </w:rPr>
        <w:t xml:space="preserve">, </w:t>
      </w:r>
      <w:r w:rsidRPr="00927BAD">
        <w:rPr>
          <w:rFonts w:cs="Times New Roman"/>
          <w:b/>
          <w:bCs/>
          <w:sz w:val="20"/>
          <w:szCs w:val="20"/>
          <w:lang w:val="en-ZA"/>
        </w:rPr>
        <w:t>93</w:t>
      </w:r>
      <w:r w:rsidRPr="00927BAD">
        <w:rPr>
          <w:rFonts w:cs="Times New Roman"/>
          <w:sz w:val="20"/>
          <w:szCs w:val="20"/>
          <w:lang w:val="en-ZA"/>
        </w:rPr>
        <w:t xml:space="preserve">, </w:t>
      </w:r>
      <w:r w:rsidR="003A5E34">
        <w:rPr>
          <w:rFonts w:cs="Times New Roman"/>
          <w:sz w:val="20"/>
          <w:szCs w:val="20"/>
          <w:lang w:val="en-ZA"/>
        </w:rPr>
        <w:t>pp.</w:t>
      </w:r>
      <w:r w:rsidRPr="00927BAD">
        <w:rPr>
          <w:rFonts w:cs="Times New Roman"/>
          <w:sz w:val="20"/>
          <w:szCs w:val="20"/>
          <w:lang w:val="en-ZA"/>
        </w:rPr>
        <w:t>1012–1033.</w:t>
      </w:r>
    </w:p>
    <w:p w14:paraId="775A5DED" w14:textId="5F2793D4" w:rsidR="008F007D" w:rsidRPr="00927BAD" w:rsidRDefault="008F007D" w:rsidP="00D4669C">
      <w:pPr>
        <w:spacing w:line="240" w:lineRule="auto"/>
        <w:jc w:val="both"/>
        <w:rPr>
          <w:rFonts w:cs="Times New Roman"/>
          <w:bCs/>
          <w:sz w:val="20"/>
          <w:szCs w:val="20"/>
          <w:lang w:val="en-ZA"/>
        </w:rPr>
      </w:pPr>
      <w:r w:rsidRPr="00927BAD">
        <w:rPr>
          <w:rFonts w:cs="Times New Roman"/>
          <w:bCs/>
          <w:sz w:val="20"/>
          <w:szCs w:val="20"/>
          <w:lang w:val="en-ZA"/>
        </w:rPr>
        <w:t xml:space="preserve">Cotton, F., G. Pousse, F. Bonilla, and F. Scherbaum (2008). On the discrepancy of recent European ground-motion observations and predictions from empirical models: Analysis of KiK-net accelerometric data and point-sources stochastic simulations, </w:t>
      </w:r>
      <w:r w:rsidRPr="00927BAD">
        <w:rPr>
          <w:rFonts w:cs="Times New Roman"/>
          <w:bCs/>
          <w:i/>
          <w:sz w:val="20"/>
          <w:szCs w:val="20"/>
          <w:lang w:val="en-ZA"/>
        </w:rPr>
        <w:t>Bull. Seismol. Soc. Am.</w:t>
      </w:r>
      <w:r w:rsidRPr="00927BAD">
        <w:rPr>
          <w:rFonts w:cs="Times New Roman"/>
          <w:bCs/>
          <w:sz w:val="20"/>
          <w:szCs w:val="20"/>
          <w:lang w:val="en-ZA"/>
        </w:rPr>
        <w:t xml:space="preserve"> 98</w:t>
      </w:r>
      <w:r w:rsidR="003A5E34">
        <w:rPr>
          <w:rFonts w:cs="Times New Roman"/>
          <w:bCs/>
          <w:sz w:val="20"/>
          <w:szCs w:val="20"/>
          <w:lang w:val="en-ZA"/>
        </w:rPr>
        <w:t>(</w:t>
      </w:r>
      <w:r w:rsidRPr="00927BAD">
        <w:rPr>
          <w:rFonts w:cs="Times New Roman"/>
          <w:bCs/>
          <w:sz w:val="20"/>
          <w:szCs w:val="20"/>
          <w:lang w:val="en-ZA"/>
        </w:rPr>
        <w:t>5</w:t>
      </w:r>
      <w:r w:rsidR="003A5E34">
        <w:rPr>
          <w:rFonts w:cs="Times New Roman"/>
          <w:bCs/>
          <w:sz w:val="20"/>
          <w:szCs w:val="20"/>
          <w:lang w:val="en-ZA"/>
        </w:rPr>
        <w:t>)</w:t>
      </w:r>
      <w:r w:rsidRPr="00927BAD">
        <w:rPr>
          <w:rFonts w:cs="Times New Roman"/>
          <w:bCs/>
          <w:sz w:val="20"/>
          <w:szCs w:val="20"/>
          <w:lang w:val="en-ZA"/>
        </w:rPr>
        <w:t xml:space="preserve"> </w:t>
      </w:r>
      <w:r w:rsidR="003A5E34">
        <w:rPr>
          <w:rFonts w:cs="Times New Roman"/>
          <w:bCs/>
          <w:sz w:val="20"/>
          <w:szCs w:val="20"/>
          <w:lang w:val="en-ZA"/>
        </w:rPr>
        <w:t>pp.</w:t>
      </w:r>
      <w:r w:rsidRPr="00927BAD">
        <w:rPr>
          <w:rFonts w:cs="Times New Roman"/>
          <w:bCs/>
          <w:sz w:val="20"/>
          <w:szCs w:val="20"/>
          <w:lang w:val="en-ZA"/>
        </w:rPr>
        <w:t>2244–2261.</w:t>
      </w:r>
    </w:p>
    <w:p w14:paraId="60D237F2" w14:textId="54DB52D4" w:rsidR="008F007D" w:rsidRPr="00927BAD" w:rsidRDefault="008F007D" w:rsidP="00D4669C">
      <w:pPr>
        <w:spacing w:line="240" w:lineRule="auto"/>
        <w:jc w:val="both"/>
        <w:rPr>
          <w:rFonts w:cs="Times New Roman"/>
          <w:bCs/>
          <w:sz w:val="20"/>
          <w:szCs w:val="20"/>
          <w:lang w:val="en-ZA"/>
        </w:rPr>
      </w:pPr>
      <w:r w:rsidRPr="00927BAD">
        <w:rPr>
          <w:rFonts w:cs="Times New Roman"/>
          <w:bCs/>
          <w:sz w:val="20"/>
          <w:szCs w:val="20"/>
          <w:lang w:val="en-ZA"/>
        </w:rPr>
        <w:t>Cotton, F., Scherbaum, F., Bommer, J.J. and Bungum, H., 2006. Criteria for selecting and adjusting ground-motion models for specific target regions: Application to central Europe and rock sites. </w:t>
      </w:r>
      <w:r w:rsidRPr="00927BAD">
        <w:rPr>
          <w:rFonts w:cs="Times New Roman"/>
          <w:bCs/>
          <w:i/>
          <w:iCs/>
          <w:sz w:val="20"/>
          <w:szCs w:val="20"/>
          <w:lang w:val="en-ZA"/>
        </w:rPr>
        <w:t>Journal of Seismology</w:t>
      </w:r>
      <w:r w:rsidRPr="00927BAD">
        <w:rPr>
          <w:rFonts w:cs="Times New Roman"/>
          <w:bCs/>
          <w:sz w:val="20"/>
          <w:szCs w:val="20"/>
          <w:lang w:val="en-ZA"/>
        </w:rPr>
        <w:t>, </w:t>
      </w:r>
      <w:r w:rsidRPr="00927BAD">
        <w:rPr>
          <w:rFonts w:cs="Times New Roman"/>
          <w:bCs/>
          <w:i/>
          <w:iCs/>
          <w:sz w:val="20"/>
          <w:szCs w:val="20"/>
          <w:lang w:val="en-ZA"/>
        </w:rPr>
        <w:t>10</w:t>
      </w:r>
      <w:r w:rsidRPr="00927BAD">
        <w:rPr>
          <w:rFonts w:cs="Times New Roman"/>
          <w:bCs/>
          <w:sz w:val="20"/>
          <w:szCs w:val="20"/>
          <w:lang w:val="en-ZA"/>
        </w:rPr>
        <w:t>(2), p</w:t>
      </w:r>
      <w:r w:rsidR="003A5E34">
        <w:rPr>
          <w:rFonts w:cs="Times New Roman"/>
          <w:bCs/>
          <w:sz w:val="20"/>
          <w:szCs w:val="20"/>
          <w:lang w:val="en-ZA"/>
        </w:rPr>
        <w:t>p</w:t>
      </w:r>
      <w:r w:rsidRPr="00927BAD">
        <w:rPr>
          <w:rFonts w:cs="Times New Roman"/>
          <w:bCs/>
          <w:sz w:val="20"/>
          <w:szCs w:val="20"/>
          <w:lang w:val="en-ZA"/>
        </w:rPr>
        <w:t>.137.</w:t>
      </w:r>
    </w:p>
    <w:p w14:paraId="7BB919A6" w14:textId="77777777"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Douglas, J. 2016. Ground motion prediction equations 1964-2018, http://www.gmpe.org.uk.</w:t>
      </w:r>
    </w:p>
    <w:p w14:paraId="0719F43D" w14:textId="014CFF9D"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Douglas, J., H., Bungum and F., Scherbaum, 2006. Ground-motion prediction equations for southern Spain and southern Norway obtained using the composite model perspective, </w:t>
      </w:r>
      <w:r w:rsidRPr="00927BAD">
        <w:rPr>
          <w:rFonts w:cs="Times New Roman"/>
          <w:i/>
          <w:iCs/>
          <w:sz w:val="20"/>
          <w:szCs w:val="20"/>
          <w:lang w:val="en-ZA"/>
        </w:rPr>
        <w:t>Journal of Earthquake Engineering</w:t>
      </w:r>
      <w:r w:rsidRPr="00927BAD">
        <w:rPr>
          <w:rFonts w:cs="Times New Roman"/>
          <w:sz w:val="20"/>
          <w:szCs w:val="20"/>
          <w:lang w:val="en-ZA"/>
        </w:rPr>
        <w:t xml:space="preserve">, </w:t>
      </w:r>
      <w:r w:rsidRPr="00927BAD">
        <w:rPr>
          <w:rFonts w:cs="Times New Roman"/>
          <w:b/>
          <w:bCs/>
          <w:sz w:val="20"/>
          <w:szCs w:val="20"/>
          <w:lang w:val="en-ZA"/>
        </w:rPr>
        <w:t>10</w:t>
      </w:r>
      <w:r w:rsidRPr="00927BAD">
        <w:rPr>
          <w:rFonts w:cs="Times New Roman"/>
          <w:bCs/>
          <w:sz w:val="20"/>
          <w:szCs w:val="20"/>
          <w:lang w:val="en-ZA"/>
        </w:rPr>
        <w:t>(1)</w:t>
      </w:r>
      <w:r w:rsidRPr="00927BAD">
        <w:rPr>
          <w:rFonts w:cs="Times New Roman"/>
          <w:sz w:val="20"/>
          <w:szCs w:val="20"/>
          <w:lang w:val="en-ZA"/>
        </w:rPr>
        <w:t xml:space="preserve">, </w:t>
      </w:r>
      <w:r w:rsidR="003A5E34">
        <w:rPr>
          <w:rFonts w:cs="Times New Roman"/>
          <w:sz w:val="20"/>
          <w:szCs w:val="20"/>
          <w:lang w:val="en-ZA"/>
        </w:rPr>
        <w:t>pp.</w:t>
      </w:r>
      <w:r w:rsidRPr="00927BAD">
        <w:rPr>
          <w:rFonts w:cs="Times New Roman"/>
          <w:sz w:val="20"/>
          <w:szCs w:val="20"/>
          <w:lang w:val="en-ZA"/>
        </w:rPr>
        <w:t>33–72.</w:t>
      </w:r>
    </w:p>
    <w:p w14:paraId="09BB7040" w14:textId="0421B6F7"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Douglas, J., </w:t>
      </w:r>
      <w:r w:rsidR="00E6542A">
        <w:rPr>
          <w:rFonts w:cs="Times New Roman"/>
          <w:sz w:val="20"/>
          <w:szCs w:val="20"/>
          <w:lang w:val="en-ZA"/>
        </w:rPr>
        <w:t>(</w:t>
      </w:r>
      <w:r w:rsidRPr="00927BAD">
        <w:rPr>
          <w:rFonts w:cs="Times New Roman"/>
          <w:sz w:val="20"/>
          <w:szCs w:val="20"/>
          <w:lang w:val="en-ZA"/>
        </w:rPr>
        <w:t>2003</w:t>
      </w:r>
      <w:r w:rsidR="00E6542A">
        <w:rPr>
          <w:rFonts w:cs="Times New Roman"/>
          <w:sz w:val="20"/>
          <w:szCs w:val="20"/>
          <w:lang w:val="en-ZA"/>
        </w:rPr>
        <w:t>)</w:t>
      </w:r>
      <w:r w:rsidRPr="00927BAD">
        <w:rPr>
          <w:rFonts w:cs="Times New Roman"/>
          <w:sz w:val="20"/>
          <w:szCs w:val="20"/>
          <w:lang w:val="en-ZA"/>
        </w:rPr>
        <w:t>. Earthquake ground motion estimation using strong-motion records: a review of equations for the estimation of peak ground acceleration and response spectral ordinates. </w:t>
      </w:r>
      <w:r w:rsidRPr="00927BAD">
        <w:rPr>
          <w:rFonts w:cs="Times New Roman"/>
          <w:i/>
          <w:iCs/>
          <w:sz w:val="20"/>
          <w:szCs w:val="20"/>
          <w:lang w:val="en-ZA"/>
        </w:rPr>
        <w:t>Earth-Science Reviews</w:t>
      </w:r>
      <w:r w:rsidRPr="00927BAD">
        <w:rPr>
          <w:rFonts w:cs="Times New Roman"/>
          <w:sz w:val="20"/>
          <w:szCs w:val="20"/>
          <w:lang w:val="en-ZA"/>
        </w:rPr>
        <w:t>, </w:t>
      </w:r>
      <w:r w:rsidRPr="00927BAD">
        <w:rPr>
          <w:rFonts w:cs="Times New Roman"/>
          <w:i/>
          <w:iCs/>
          <w:sz w:val="20"/>
          <w:szCs w:val="20"/>
          <w:lang w:val="en-ZA"/>
        </w:rPr>
        <w:t>61</w:t>
      </w:r>
      <w:r w:rsidRPr="00927BAD">
        <w:rPr>
          <w:rFonts w:cs="Times New Roman"/>
          <w:sz w:val="20"/>
          <w:szCs w:val="20"/>
          <w:lang w:val="en-ZA"/>
        </w:rPr>
        <w:t>(1-2), pp.43-104.</w:t>
      </w:r>
    </w:p>
    <w:p w14:paraId="76CE018B" w14:textId="77777777" w:rsidR="008F007D" w:rsidRPr="00927BAD" w:rsidRDefault="008F007D" w:rsidP="00D4669C">
      <w:pPr>
        <w:spacing w:line="240" w:lineRule="auto"/>
        <w:jc w:val="both"/>
        <w:rPr>
          <w:rFonts w:cs="Times New Roman"/>
          <w:sz w:val="20"/>
          <w:szCs w:val="20"/>
          <w:u w:val="single"/>
          <w:lang w:val="en-ZA"/>
        </w:rPr>
      </w:pPr>
      <w:r w:rsidRPr="00927BAD">
        <w:rPr>
          <w:rFonts w:cs="Times New Roman"/>
          <w:sz w:val="20"/>
          <w:szCs w:val="20"/>
          <w:lang w:val="en-ZA"/>
        </w:rPr>
        <w:t xml:space="preserve">Douglas, J., F., Cotton, N., Abrahamson, S., Akkar, D.M., Boore and C., Di Alessandro, 2011. Pre-selection of ground-motion prediction equations (Task 2), PEER GEM – Global GMPEs Task 2 WG, URL </w:t>
      </w:r>
      <w:hyperlink r:id="rId21" w:history="1">
        <w:r w:rsidRPr="00927BAD">
          <w:rPr>
            <w:rStyle w:val="Hyperlink"/>
            <w:rFonts w:cs="Times New Roman"/>
            <w:sz w:val="20"/>
            <w:szCs w:val="20"/>
            <w:lang w:val="en-ZA"/>
          </w:rPr>
          <w:t>www.nexus.globalquakemodel.org/gem-gmpes/posts/</w:t>
        </w:r>
      </w:hyperlink>
    </w:p>
    <w:p w14:paraId="581E1779" w14:textId="310EE3F7"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Douglas, J., B. Edwards, V. Convertito, N. Sharma, A. Tramelli, D. Kraaijpoel, B. Cabrera, N. Maercklin, and C. Troise, 2013. Predicting ground motion from induced earthquakes in geothermal areas, </w:t>
      </w:r>
      <w:r w:rsidRPr="00927BAD">
        <w:rPr>
          <w:rFonts w:cs="Times New Roman"/>
          <w:i/>
          <w:sz w:val="20"/>
          <w:szCs w:val="20"/>
          <w:lang w:val="en-ZA"/>
        </w:rPr>
        <w:t>Bulletin of the Seismological Society of America</w:t>
      </w:r>
      <w:r w:rsidRPr="00927BAD">
        <w:rPr>
          <w:rFonts w:cs="Times New Roman"/>
          <w:sz w:val="20"/>
          <w:szCs w:val="20"/>
          <w:lang w:val="en-ZA"/>
        </w:rPr>
        <w:t xml:space="preserve">, </w:t>
      </w:r>
      <w:r w:rsidRPr="00927BAD">
        <w:rPr>
          <w:rFonts w:cs="Times New Roman"/>
          <w:b/>
          <w:sz w:val="20"/>
          <w:szCs w:val="20"/>
          <w:lang w:val="en-ZA"/>
        </w:rPr>
        <w:t>103</w:t>
      </w:r>
      <w:r w:rsidRPr="00927BAD">
        <w:rPr>
          <w:rFonts w:cs="Times New Roman"/>
          <w:sz w:val="20"/>
          <w:szCs w:val="20"/>
          <w:lang w:val="en-ZA"/>
        </w:rPr>
        <w:t xml:space="preserve">, </w:t>
      </w:r>
      <w:r w:rsidR="003A5E34">
        <w:rPr>
          <w:rFonts w:cs="Times New Roman"/>
          <w:sz w:val="20"/>
          <w:szCs w:val="20"/>
          <w:lang w:val="en-ZA"/>
        </w:rPr>
        <w:t>pp.</w:t>
      </w:r>
      <w:r w:rsidRPr="00927BAD">
        <w:rPr>
          <w:rFonts w:cs="Times New Roman"/>
          <w:sz w:val="20"/>
          <w:szCs w:val="20"/>
          <w:lang w:val="en-ZA"/>
        </w:rPr>
        <w:t>1875–1897.</w:t>
      </w:r>
    </w:p>
    <w:p w14:paraId="213B0147" w14:textId="5FE4E31E" w:rsidR="00BF051F" w:rsidRDefault="00BF051F" w:rsidP="00D4669C">
      <w:pPr>
        <w:spacing w:line="240" w:lineRule="auto"/>
        <w:jc w:val="both"/>
        <w:rPr>
          <w:rFonts w:cs="Times New Roman"/>
          <w:sz w:val="20"/>
          <w:szCs w:val="20"/>
        </w:rPr>
      </w:pPr>
      <w:r w:rsidRPr="00BF051F">
        <w:rPr>
          <w:rFonts w:cs="Times New Roman"/>
          <w:sz w:val="20"/>
          <w:szCs w:val="20"/>
        </w:rPr>
        <w:t xml:space="preserve">Durrheim, R.J., Anderson, R.L., Cichowicz, A., Ebrahim-Trolloped, R., Hubert, G., Kijko, A., McGarr, A., Ortlepp, W.D. and Van der Merwe, N., </w:t>
      </w:r>
      <w:r w:rsidR="003A5E34">
        <w:rPr>
          <w:rFonts w:cs="Times New Roman"/>
          <w:sz w:val="20"/>
          <w:szCs w:val="20"/>
        </w:rPr>
        <w:t>(</w:t>
      </w:r>
      <w:r w:rsidRPr="00BF051F">
        <w:rPr>
          <w:rFonts w:cs="Times New Roman"/>
          <w:sz w:val="20"/>
          <w:szCs w:val="20"/>
        </w:rPr>
        <w:t>2006</w:t>
      </w:r>
      <w:r w:rsidR="003A5E34">
        <w:rPr>
          <w:rFonts w:cs="Times New Roman"/>
          <w:sz w:val="20"/>
          <w:szCs w:val="20"/>
        </w:rPr>
        <w:t>)</w:t>
      </w:r>
      <w:r w:rsidRPr="00BF051F">
        <w:rPr>
          <w:rFonts w:cs="Times New Roman"/>
          <w:sz w:val="20"/>
          <w:szCs w:val="20"/>
        </w:rPr>
        <w:t>. The risks to miners, mines, and the public posed by large seismic events in the gold mining districts of South Afr</w:t>
      </w:r>
      <w:r>
        <w:rPr>
          <w:rFonts w:cs="Times New Roman"/>
          <w:sz w:val="20"/>
          <w:szCs w:val="20"/>
        </w:rPr>
        <w:t xml:space="preserve">ica, </w:t>
      </w:r>
      <w:r w:rsidRPr="00BF051F">
        <w:rPr>
          <w:rFonts w:cs="Times New Roman"/>
          <w:sz w:val="20"/>
          <w:szCs w:val="20"/>
        </w:rPr>
        <w:t>J Hadjigeorgiou and M Gren</w:t>
      </w:r>
      <w:r>
        <w:rPr>
          <w:rFonts w:cs="Times New Roman"/>
          <w:sz w:val="20"/>
          <w:szCs w:val="20"/>
        </w:rPr>
        <w:t xml:space="preserve">on (Editors), </w:t>
      </w:r>
      <w:r w:rsidRPr="00BF051F">
        <w:rPr>
          <w:rFonts w:cs="Times New Roman"/>
          <w:sz w:val="20"/>
          <w:szCs w:val="20"/>
        </w:rPr>
        <w:t xml:space="preserve">In Proceedings of the Third International Seminar on Deep and High Stress Mining, 2-4 October 2006, Quebec City, CANADA, </w:t>
      </w:r>
      <w:r>
        <w:rPr>
          <w:rFonts w:cs="Times New Roman"/>
          <w:sz w:val="20"/>
          <w:szCs w:val="20"/>
        </w:rPr>
        <w:t>Universite  Laval</w:t>
      </w:r>
      <w:r w:rsidRPr="00BF051F">
        <w:rPr>
          <w:rFonts w:cs="Times New Roman"/>
          <w:sz w:val="20"/>
          <w:szCs w:val="20"/>
        </w:rPr>
        <w:t>.</w:t>
      </w:r>
    </w:p>
    <w:p w14:paraId="36FF7748" w14:textId="0C5F0CE7" w:rsidR="00776829" w:rsidRDefault="00776829" w:rsidP="00D4669C">
      <w:pPr>
        <w:spacing w:line="240" w:lineRule="auto"/>
        <w:jc w:val="both"/>
        <w:rPr>
          <w:rFonts w:cs="Times New Roman"/>
          <w:sz w:val="20"/>
          <w:szCs w:val="20"/>
        </w:rPr>
      </w:pPr>
      <w:r w:rsidRPr="00776829">
        <w:rPr>
          <w:rFonts w:cs="Times New Roman"/>
          <w:sz w:val="20"/>
          <w:szCs w:val="20"/>
        </w:rPr>
        <w:t xml:space="preserve">Fernandez, L.M. and Van der Heever, P.K., </w:t>
      </w:r>
      <w:r w:rsidR="003A5E34">
        <w:rPr>
          <w:rFonts w:cs="Times New Roman"/>
          <w:sz w:val="20"/>
          <w:szCs w:val="20"/>
        </w:rPr>
        <w:t>(</w:t>
      </w:r>
      <w:r w:rsidRPr="00776829">
        <w:rPr>
          <w:rFonts w:cs="Times New Roman"/>
          <w:sz w:val="20"/>
          <w:szCs w:val="20"/>
        </w:rPr>
        <w:t>1985</w:t>
      </w:r>
      <w:r w:rsidR="003A5E34">
        <w:rPr>
          <w:rFonts w:cs="Times New Roman"/>
          <w:sz w:val="20"/>
          <w:szCs w:val="20"/>
        </w:rPr>
        <w:t>)</w:t>
      </w:r>
      <w:r w:rsidRPr="00776829">
        <w:rPr>
          <w:rFonts w:cs="Times New Roman"/>
          <w:sz w:val="20"/>
          <w:szCs w:val="20"/>
        </w:rPr>
        <w:t xml:space="preserve">, December. Ground movement and damage accompanying a large seismic event in the Klerksdorp district: Proc 1st International Congress on Rockbursts and Seismicity in Mines, Johannesburg, Sept 1982 </w:t>
      </w:r>
      <w:r w:rsidR="003A5E34">
        <w:rPr>
          <w:rFonts w:cs="Times New Roman"/>
          <w:sz w:val="20"/>
          <w:szCs w:val="20"/>
        </w:rPr>
        <w:t>pp</w:t>
      </w:r>
      <w:r w:rsidRPr="00776829">
        <w:rPr>
          <w:rFonts w:cs="Times New Roman"/>
          <w:sz w:val="20"/>
          <w:szCs w:val="20"/>
        </w:rPr>
        <w:t>193–198. Publ Johannesburg: SIAMM, 1984.</w:t>
      </w:r>
    </w:p>
    <w:p w14:paraId="15775F0B" w14:textId="74D7B5DD"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Frankel, A., C., Mueller, T., Barnhard, D., Perkins, E.V., Leyendecker, N., Dickman, S., Hanson and M., Hopper, </w:t>
      </w:r>
      <w:r w:rsidR="003A5E34">
        <w:rPr>
          <w:rFonts w:cs="Times New Roman"/>
          <w:sz w:val="20"/>
          <w:szCs w:val="20"/>
          <w:lang w:val="en-ZA"/>
        </w:rPr>
        <w:t>(</w:t>
      </w:r>
      <w:r w:rsidRPr="00927BAD">
        <w:rPr>
          <w:rFonts w:cs="Times New Roman"/>
          <w:sz w:val="20"/>
          <w:szCs w:val="20"/>
          <w:lang w:val="en-ZA"/>
        </w:rPr>
        <w:t>2004</w:t>
      </w:r>
      <w:r w:rsidR="003A5E34">
        <w:rPr>
          <w:rFonts w:cs="Times New Roman"/>
          <w:sz w:val="20"/>
          <w:szCs w:val="20"/>
          <w:lang w:val="en-ZA"/>
        </w:rPr>
        <w:t>)</w:t>
      </w:r>
      <w:r w:rsidRPr="00927BAD">
        <w:rPr>
          <w:rFonts w:cs="Times New Roman"/>
          <w:sz w:val="20"/>
          <w:szCs w:val="20"/>
          <w:lang w:val="en-ZA"/>
        </w:rPr>
        <w:t xml:space="preserve">. National Seismic-Hazard Maps: Documentation June 1996, </w:t>
      </w:r>
      <w:r w:rsidRPr="00927BAD">
        <w:rPr>
          <w:rFonts w:cs="Times New Roman"/>
          <w:i/>
          <w:sz w:val="20"/>
          <w:szCs w:val="20"/>
          <w:lang w:val="en-ZA"/>
        </w:rPr>
        <w:t>Open-File Report 96-532</w:t>
      </w:r>
      <w:r w:rsidRPr="00927BAD">
        <w:rPr>
          <w:rFonts w:cs="Times New Roman"/>
          <w:sz w:val="20"/>
          <w:szCs w:val="20"/>
          <w:lang w:val="en-ZA"/>
        </w:rPr>
        <w:t>, U.S. Department of the Interior, U.S. Geological Survey.</w:t>
      </w:r>
    </w:p>
    <w:p w14:paraId="1F85D38F" w14:textId="5CFF0865"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Graves, R., B., Aagaard, K., Hudnut, L., Star, J., Stewart and T., Jordan, </w:t>
      </w:r>
      <w:r w:rsidR="003A5E34">
        <w:rPr>
          <w:rFonts w:cs="Times New Roman"/>
          <w:sz w:val="20"/>
          <w:szCs w:val="20"/>
          <w:lang w:val="en-ZA"/>
        </w:rPr>
        <w:t>(</w:t>
      </w:r>
      <w:r w:rsidRPr="00927BAD">
        <w:rPr>
          <w:rFonts w:cs="Times New Roman"/>
          <w:sz w:val="20"/>
          <w:szCs w:val="20"/>
          <w:lang w:val="en-ZA"/>
        </w:rPr>
        <w:t>2008</w:t>
      </w:r>
      <w:r w:rsidR="003A5E34">
        <w:rPr>
          <w:rFonts w:cs="Times New Roman"/>
          <w:sz w:val="20"/>
          <w:szCs w:val="20"/>
          <w:lang w:val="en-ZA"/>
        </w:rPr>
        <w:t>)</w:t>
      </w:r>
      <w:r w:rsidRPr="00927BAD">
        <w:rPr>
          <w:rFonts w:cs="Times New Roman"/>
          <w:sz w:val="20"/>
          <w:szCs w:val="20"/>
          <w:lang w:val="en-ZA"/>
        </w:rPr>
        <w:t xml:space="preserve">. Broadband simulation for Mw 7.8 southern San Andreas earthquakes: ground motion sensitivity to rupture speed, </w:t>
      </w:r>
      <w:r w:rsidRPr="00927BAD">
        <w:rPr>
          <w:rFonts w:cs="Times New Roman"/>
          <w:i/>
          <w:iCs/>
          <w:sz w:val="20"/>
          <w:szCs w:val="20"/>
          <w:lang w:val="en-ZA"/>
        </w:rPr>
        <w:t>Geophysical Research Letters</w:t>
      </w:r>
      <w:r w:rsidRPr="00927BAD">
        <w:rPr>
          <w:rFonts w:cs="Times New Roman"/>
          <w:sz w:val="20"/>
          <w:szCs w:val="20"/>
          <w:lang w:val="en-ZA"/>
        </w:rPr>
        <w:t xml:space="preserve">, </w:t>
      </w:r>
      <w:r w:rsidRPr="00927BAD">
        <w:rPr>
          <w:rFonts w:cs="Times New Roman"/>
          <w:b/>
          <w:bCs/>
          <w:sz w:val="20"/>
          <w:szCs w:val="20"/>
          <w:lang w:val="en-ZA"/>
        </w:rPr>
        <w:t>35</w:t>
      </w:r>
      <w:r w:rsidRPr="00927BAD">
        <w:rPr>
          <w:rFonts w:cs="Times New Roman"/>
          <w:sz w:val="20"/>
          <w:szCs w:val="20"/>
          <w:lang w:val="en-ZA"/>
        </w:rPr>
        <w:t>, L22302, doi:10.1029/2008GL035750.</w:t>
      </w:r>
    </w:p>
    <w:p w14:paraId="6A920167" w14:textId="5702B68B" w:rsidR="00A117F3" w:rsidRPr="00A117F3" w:rsidRDefault="00A117F3" w:rsidP="00D4669C">
      <w:pPr>
        <w:spacing w:line="240" w:lineRule="auto"/>
        <w:jc w:val="both"/>
        <w:rPr>
          <w:rFonts w:cs="Times New Roman"/>
          <w:sz w:val="20"/>
          <w:szCs w:val="20"/>
        </w:rPr>
      </w:pPr>
      <w:r w:rsidRPr="00A117F3">
        <w:rPr>
          <w:rFonts w:cs="Times New Roman"/>
          <w:sz w:val="20"/>
          <w:szCs w:val="20"/>
        </w:rPr>
        <w:t xml:space="preserve">Grobbelaar, M.R.G., Birch, D. and Cichowicz, A., </w:t>
      </w:r>
      <w:r w:rsidR="003A5E34">
        <w:rPr>
          <w:rFonts w:cs="Times New Roman"/>
          <w:sz w:val="20"/>
          <w:szCs w:val="20"/>
        </w:rPr>
        <w:t>(</w:t>
      </w:r>
      <w:r w:rsidRPr="00A117F3">
        <w:rPr>
          <w:rFonts w:cs="Times New Roman"/>
          <w:sz w:val="20"/>
          <w:szCs w:val="20"/>
        </w:rPr>
        <w:t>2</w:t>
      </w:r>
      <w:r>
        <w:rPr>
          <w:rFonts w:cs="Times New Roman"/>
          <w:sz w:val="20"/>
          <w:szCs w:val="20"/>
        </w:rPr>
        <w:t>017</w:t>
      </w:r>
      <w:r w:rsidR="003A5E34">
        <w:rPr>
          <w:rFonts w:cs="Times New Roman"/>
          <w:sz w:val="20"/>
          <w:szCs w:val="20"/>
        </w:rPr>
        <w:t>)</w:t>
      </w:r>
      <w:r w:rsidRPr="00A117F3">
        <w:rPr>
          <w:rFonts w:cs="Times New Roman"/>
          <w:sz w:val="20"/>
          <w:szCs w:val="20"/>
        </w:rPr>
        <w:t>. Comparison of data from complementary seismograph networks in a mining district. In </w:t>
      </w:r>
      <w:r w:rsidRPr="00A117F3">
        <w:rPr>
          <w:rFonts w:cs="Times New Roman"/>
          <w:i/>
          <w:iCs/>
          <w:sz w:val="20"/>
          <w:szCs w:val="20"/>
        </w:rPr>
        <w:t>Proceedings of the Eighth International Conference on Deep and High Stress Mining</w:t>
      </w:r>
      <w:r w:rsidRPr="00A117F3">
        <w:rPr>
          <w:rFonts w:cs="Times New Roman"/>
          <w:sz w:val="20"/>
          <w:szCs w:val="20"/>
        </w:rPr>
        <w:t> </w:t>
      </w:r>
      <w:r w:rsidR="003A5E34">
        <w:rPr>
          <w:rFonts w:cs="Times New Roman"/>
          <w:sz w:val="20"/>
          <w:szCs w:val="20"/>
        </w:rPr>
        <w:t>,</w:t>
      </w:r>
      <w:r w:rsidRPr="00A117F3">
        <w:rPr>
          <w:rFonts w:cs="Times New Roman"/>
          <w:sz w:val="20"/>
          <w:szCs w:val="20"/>
        </w:rPr>
        <w:t xml:space="preserve">pp. 117-124. Australian Centre for Geomechanics. </w:t>
      </w:r>
    </w:p>
    <w:p w14:paraId="6C11CF04" w14:textId="1532482E"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Gupta, I.D., 2006, December. Defining source-to-site distances for evaluation of design earthquake ground motion. In </w:t>
      </w:r>
      <w:r w:rsidRPr="00927BAD">
        <w:rPr>
          <w:rFonts w:cs="Times New Roman"/>
          <w:i/>
          <w:iCs/>
          <w:sz w:val="20"/>
          <w:szCs w:val="20"/>
          <w:lang w:val="en-ZA"/>
        </w:rPr>
        <w:t>Proceedings of the 13th Symposium on Earthquake Engineering, Roorkee</w:t>
      </w:r>
      <w:r w:rsidR="00E6542A">
        <w:rPr>
          <w:rFonts w:cs="Times New Roman"/>
          <w:sz w:val="20"/>
          <w:szCs w:val="20"/>
          <w:lang w:val="en-ZA"/>
        </w:rPr>
        <w:t>,</w:t>
      </w:r>
      <w:r w:rsidRPr="00927BAD">
        <w:rPr>
          <w:rFonts w:cs="Times New Roman"/>
          <w:sz w:val="20"/>
          <w:szCs w:val="20"/>
          <w:lang w:val="en-ZA"/>
        </w:rPr>
        <w:t xml:space="preserve"> 1, pp. 295-306.</w:t>
      </w:r>
    </w:p>
    <w:p w14:paraId="023FC3E5" w14:textId="1A228EC5"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Hartnady C.J.H. (2002). Earthquake hazard in Africa: perspectives on the Nubia–Somalia boundary, </w:t>
      </w:r>
      <w:r w:rsidRPr="00927BAD">
        <w:rPr>
          <w:rFonts w:cs="Times New Roman"/>
          <w:i/>
          <w:sz w:val="20"/>
          <w:szCs w:val="20"/>
          <w:lang w:val="en-ZA"/>
        </w:rPr>
        <w:t>South African Journal of Science</w:t>
      </w:r>
      <w:r w:rsidRPr="00927BAD">
        <w:rPr>
          <w:rFonts w:cs="Times New Roman"/>
          <w:sz w:val="20"/>
          <w:szCs w:val="20"/>
          <w:lang w:val="en-ZA"/>
        </w:rPr>
        <w:t xml:space="preserve"> </w:t>
      </w:r>
      <w:r w:rsidRPr="00927BAD">
        <w:rPr>
          <w:rFonts w:cs="Times New Roman"/>
          <w:b/>
          <w:bCs/>
          <w:sz w:val="20"/>
          <w:szCs w:val="20"/>
          <w:lang w:val="en-ZA"/>
        </w:rPr>
        <w:t>98</w:t>
      </w:r>
      <w:r w:rsidRPr="00927BAD">
        <w:rPr>
          <w:rFonts w:cs="Times New Roman"/>
          <w:sz w:val="20"/>
          <w:szCs w:val="20"/>
          <w:lang w:val="en-ZA"/>
        </w:rPr>
        <w:t xml:space="preserve">, </w:t>
      </w:r>
      <w:r w:rsidR="003A5E34">
        <w:rPr>
          <w:rFonts w:cs="Times New Roman"/>
          <w:sz w:val="20"/>
          <w:szCs w:val="20"/>
          <w:lang w:val="en-ZA"/>
        </w:rPr>
        <w:t>pp.</w:t>
      </w:r>
      <w:r w:rsidRPr="00927BAD">
        <w:rPr>
          <w:rFonts w:cs="Times New Roman"/>
          <w:sz w:val="20"/>
          <w:szCs w:val="20"/>
          <w:lang w:val="en-ZA"/>
        </w:rPr>
        <w:t xml:space="preserve">425-428, </w:t>
      </w:r>
    </w:p>
    <w:p w14:paraId="634AC9FB" w14:textId="77777777"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Johnston, A.C., 1994. The stable continental region earthquake database. </w:t>
      </w:r>
      <w:r w:rsidRPr="00927BAD">
        <w:rPr>
          <w:rFonts w:cs="Times New Roman"/>
          <w:i/>
          <w:iCs/>
          <w:sz w:val="20"/>
          <w:szCs w:val="20"/>
          <w:lang w:val="en-ZA"/>
        </w:rPr>
        <w:t>The Earthquakes of Stable Continental Regions: Assessment ox Large Earthquake Potential, EPRI Rpt. TR</w:t>
      </w:r>
      <w:r w:rsidRPr="00927BAD">
        <w:rPr>
          <w:rFonts w:cs="Times New Roman"/>
          <w:sz w:val="20"/>
          <w:szCs w:val="20"/>
          <w:lang w:val="en-ZA"/>
        </w:rPr>
        <w:t>, </w:t>
      </w:r>
      <w:r w:rsidRPr="00927BAD">
        <w:rPr>
          <w:rFonts w:cs="Times New Roman"/>
          <w:i/>
          <w:iCs/>
          <w:sz w:val="20"/>
          <w:szCs w:val="20"/>
          <w:lang w:val="en-ZA"/>
        </w:rPr>
        <w:t>102261</w:t>
      </w:r>
      <w:r w:rsidRPr="00927BAD">
        <w:rPr>
          <w:rFonts w:cs="Times New Roman"/>
          <w:sz w:val="20"/>
          <w:szCs w:val="20"/>
          <w:lang w:val="en-ZA"/>
        </w:rPr>
        <w:t>, pp.3-1.</w:t>
      </w:r>
    </w:p>
    <w:p w14:paraId="47339F51" w14:textId="463220A4" w:rsidR="008F007D" w:rsidRDefault="008F007D" w:rsidP="00D4669C">
      <w:pPr>
        <w:spacing w:line="240" w:lineRule="auto"/>
        <w:jc w:val="both"/>
        <w:rPr>
          <w:rFonts w:cs="Times New Roman"/>
          <w:sz w:val="20"/>
          <w:szCs w:val="20"/>
          <w:lang w:val="en-ZA"/>
        </w:rPr>
      </w:pPr>
      <w:r w:rsidRPr="00927BAD">
        <w:rPr>
          <w:rFonts w:cs="Times New Roman"/>
          <w:sz w:val="20"/>
          <w:szCs w:val="20"/>
          <w:lang w:val="en-ZA"/>
        </w:rPr>
        <w:t>Manzunzu, B., Midzi, V., Mulabisana, T.F., Zulu, B., Pule, T., Myendeki, S. and Rathod, G.W.,</w:t>
      </w:r>
      <w:r w:rsidR="003A5E34">
        <w:rPr>
          <w:rFonts w:cs="Times New Roman"/>
          <w:sz w:val="20"/>
          <w:szCs w:val="20"/>
          <w:lang w:val="en-ZA"/>
        </w:rPr>
        <w:t>(</w:t>
      </w:r>
      <w:r w:rsidRPr="00927BAD">
        <w:rPr>
          <w:rFonts w:cs="Times New Roman"/>
          <w:sz w:val="20"/>
          <w:szCs w:val="20"/>
          <w:lang w:val="en-ZA"/>
        </w:rPr>
        <w:t xml:space="preserve"> 2019</w:t>
      </w:r>
      <w:r w:rsidR="003A5E34">
        <w:rPr>
          <w:rFonts w:cs="Times New Roman"/>
          <w:sz w:val="20"/>
          <w:szCs w:val="20"/>
          <w:lang w:val="en-ZA"/>
        </w:rPr>
        <w:t>)</w:t>
      </w:r>
      <w:r w:rsidRPr="00927BAD">
        <w:rPr>
          <w:rFonts w:cs="Times New Roman"/>
          <w:sz w:val="20"/>
          <w:szCs w:val="20"/>
          <w:lang w:val="en-ZA"/>
        </w:rPr>
        <w:t>. Seismotectonics of South Africa. </w:t>
      </w:r>
      <w:r w:rsidRPr="00927BAD">
        <w:rPr>
          <w:rFonts w:cs="Times New Roman"/>
          <w:i/>
          <w:iCs/>
          <w:sz w:val="20"/>
          <w:szCs w:val="20"/>
          <w:lang w:val="en-ZA"/>
        </w:rPr>
        <w:t>Journal of African Earth Sciences</w:t>
      </w:r>
      <w:r w:rsidRPr="00927BAD">
        <w:rPr>
          <w:rFonts w:cs="Times New Roman"/>
          <w:sz w:val="20"/>
          <w:szCs w:val="20"/>
          <w:lang w:val="en-ZA"/>
        </w:rPr>
        <w:t>, </w:t>
      </w:r>
      <w:r w:rsidRPr="00927BAD">
        <w:rPr>
          <w:rFonts w:cs="Times New Roman"/>
          <w:i/>
          <w:iCs/>
          <w:sz w:val="20"/>
          <w:szCs w:val="20"/>
          <w:lang w:val="en-ZA"/>
        </w:rPr>
        <w:t>149</w:t>
      </w:r>
      <w:r w:rsidRPr="00927BAD">
        <w:rPr>
          <w:rFonts w:cs="Times New Roman"/>
          <w:sz w:val="20"/>
          <w:szCs w:val="20"/>
          <w:lang w:val="en-ZA"/>
        </w:rPr>
        <w:t xml:space="preserve">, pp.271-279. </w:t>
      </w:r>
    </w:p>
    <w:p w14:paraId="36763B75" w14:textId="77777777" w:rsidR="005E75CA" w:rsidRPr="005E75CA" w:rsidRDefault="005E75CA" w:rsidP="005E75CA">
      <w:pPr>
        <w:spacing w:line="240" w:lineRule="auto"/>
        <w:jc w:val="both"/>
        <w:rPr>
          <w:rFonts w:cs="Times New Roman"/>
          <w:sz w:val="20"/>
          <w:szCs w:val="20"/>
        </w:rPr>
      </w:pPr>
      <w:r w:rsidRPr="005E75CA">
        <w:rPr>
          <w:rFonts w:cs="Times New Roman"/>
          <w:sz w:val="20"/>
          <w:szCs w:val="20"/>
        </w:rPr>
        <w:lastRenderedPageBreak/>
        <w:t>Manzunzu, B., Midzi, V., Mangongolo, A. and Essrich, F., 2017. The aftershock sequence of the 5 August 2014 Orkney earthquake (M L 5.5), South Africa. </w:t>
      </w:r>
      <w:r w:rsidRPr="005E75CA">
        <w:rPr>
          <w:rFonts w:cs="Times New Roman"/>
          <w:i/>
          <w:iCs/>
          <w:sz w:val="20"/>
          <w:szCs w:val="20"/>
        </w:rPr>
        <w:t>Journal of Seismology</w:t>
      </w:r>
      <w:r w:rsidRPr="005E75CA">
        <w:rPr>
          <w:rFonts w:cs="Times New Roman"/>
          <w:sz w:val="20"/>
          <w:szCs w:val="20"/>
        </w:rPr>
        <w:t>, </w:t>
      </w:r>
      <w:r w:rsidRPr="005E75CA">
        <w:rPr>
          <w:rFonts w:cs="Times New Roman"/>
          <w:b/>
          <w:i/>
          <w:iCs/>
          <w:sz w:val="20"/>
          <w:szCs w:val="20"/>
        </w:rPr>
        <w:t>21</w:t>
      </w:r>
      <w:r w:rsidRPr="005E75CA">
        <w:rPr>
          <w:rFonts w:cs="Times New Roman"/>
          <w:b/>
          <w:sz w:val="20"/>
          <w:szCs w:val="20"/>
        </w:rPr>
        <w:t>(6)</w:t>
      </w:r>
      <w:r w:rsidRPr="005E75CA">
        <w:rPr>
          <w:rFonts w:cs="Times New Roman"/>
          <w:sz w:val="20"/>
          <w:szCs w:val="20"/>
        </w:rPr>
        <w:t xml:space="preserve">, pp.1323-1334. </w:t>
      </w:r>
    </w:p>
    <w:p w14:paraId="2273BDF2" w14:textId="50FCD917"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Midzi, V., Manzunzu, B., Mulabisana, T., Zulu, B.S., Pule, T. and Myendeki, S., 2020. Probabilistic seismic hazard maps for South Africa. </w:t>
      </w:r>
      <w:r w:rsidRPr="00927BAD">
        <w:rPr>
          <w:rFonts w:cs="Times New Roman"/>
          <w:i/>
          <w:sz w:val="20"/>
          <w:szCs w:val="20"/>
          <w:lang w:val="en-ZA"/>
        </w:rPr>
        <w:t>Journal of African Earth Sciences</w:t>
      </w:r>
      <w:r w:rsidRPr="00927BAD">
        <w:rPr>
          <w:rFonts w:cs="Times New Roman"/>
          <w:sz w:val="20"/>
          <w:szCs w:val="20"/>
          <w:lang w:val="en-ZA"/>
        </w:rPr>
        <w:t>, 162, p</w:t>
      </w:r>
      <w:r w:rsidR="003A5E34">
        <w:rPr>
          <w:rFonts w:cs="Times New Roman"/>
          <w:sz w:val="20"/>
          <w:szCs w:val="20"/>
          <w:lang w:val="en-ZA"/>
        </w:rPr>
        <w:t>p</w:t>
      </w:r>
      <w:r w:rsidRPr="00927BAD">
        <w:rPr>
          <w:rFonts w:cs="Times New Roman"/>
          <w:sz w:val="20"/>
          <w:szCs w:val="20"/>
          <w:lang w:val="en-ZA"/>
        </w:rPr>
        <w:t xml:space="preserve">.103689. </w:t>
      </w:r>
      <w:hyperlink r:id="rId22" w:tgtFrame="_blank" w:tooltip="Persistent link using digital object identifier" w:history="1">
        <w:r w:rsidRPr="00927BAD">
          <w:rPr>
            <w:rStyle w:val="Hyperlink"/>
            <w:rFonts w:cs="Times New Roman"/>
            <w:sz w:val="20"/>
            <w:szCs w:val="20"/>
            <w:lang w:val="en-ZA"/>
          </w:rPr>
          <w:t>https://doi.org/10.1016/j.jafrearsci.2019.103689</w:t>
        </w:r>
      </w:hyperlink>
    </w:p>
    <w:p w14:paraId="43DDE3A7" w14:textId="61622D70"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Musson, R.M.W. and Sargeant, S.L., </w:t>
      </w:r>
      <w:r w:rsidR="003A5E34">
        <w:rPr>
          <w:rFonts w:cs="Times New Roman"/>
          <w:sz w:val="20"/>
          <w:szCs w:val="20"/>
          <w:lang w:val="en-ZA"/>
        </w:rPr>
        <w:t>(</w:t>
      </w:r>
      <w:r w:rsidRPr="00927BAD">
        <w:rPr>
          <w:rFonts w:cs="Times New Roman"/>
          <w:sz w:val="20"/>
          <w:szCs w:val="20"/>
          <w:lang w:val="en-ZA"/>
        </w:rPr>
        <w:t>2007</w:t>
      </w:r>
      <w:r w:rsidR="003A5E34">
        <w:rPr>
          <w:rFonts w:cs="Times New Roman"/>
          <w:sz w:val="20"/>
          <w:szCs w:val="20"/>
          <w:lang w:val="en-ZA"/>
        </w:rPr>
        <w:t>)</w:t>
      </w:r>
      <w:r w:rsidRPr="00927BAD">
        <w:rPr>
          <w:rFonts w:cs="Times New Roman"/>
          <w:sz w:val="20"/>
          <w:szCs w:val="20"/>
          <w:lang w:val="en-ZA"/>
        </w:rPr>
        <w:t xml:space="preserve">. Eurocode 8 seismic hazard zoning maps for the UK. </w:t>
      </w:r>
      <w:r w:rsidRPr="00927BAD">
        <w:rPr>
          <w:rFonts w:cs="Times New Roman"/>
          <w:i/>
          <w:iCs/>
          <w:sz w:val="20"/>
          <w:szCs w:val="20"/>
          <w:lang w:val="en-ZA"/>
        </w:rPr>
        <w:t>British Geological Survey Technical Report</w:t>
      </w:r>
      <w:r w:rsidRPr="00927BAD">
        <w:rPr>
          <w:rFonts w:cs="Times New Roman"/>
          <w:sz w:val="20"/>
          <w:szCs w:val="20"/>
          <w:lang w:val="en-ZA"/>
        </w:rPr>
        <w:t>, CR/07/125</w:t>
      </w:r>
      <w:r w:rsidR="003A5E34">
        <w:rPr>
          <w:rFonts w:cs="Times New Roman"/>
          <w:sz w:val="20"/>
          <w:szCs w:val="20"/>
          <w:lang w:val="en-ZA"/>
        </w:rPr>
        <w:t>,</w:t>
      </w:r>
      <w:r w:rsidR="00F10700">
        <w:rPr>
          <w:rFonts w:cs="Times New Roman"/>
          <w:sz w:val="20"/>
          <w:szCs w:val="20"/>
          <w:lang w:val="en-ZA"/>
        </w:rPr>
        <w:t xml:space="preserve"> </w:t>
      </w:r>
      <w:r w:rsidR="003A5E34">
        <w:rPr>
          <w:rFonts w:cs="Times New Roman"/>
          <w:sz w:val="20"/>
          <w:szCs w:val="20"/>
          <w:lang w:val="en-ZA"/>
        </w:rPr>
        <w:t>pp.</w:t>
      </w:r>
      <w:r w:rsidRPr="00927BAD">
        <w:rPr>
          <w:rFonts w:cs="Times New Roman"/>
          <w:sz w:val="20"/>
          <w:szCs w:val="20"/>
          <w:lang w:val="en-ZA"/>
        </w:rPr>
        <w:t xml:space="preserve"> 70 .</w:t>
      </w:r>
    </w:p>
    <w:p w14:paraId="10358DC7" w14:textId="0EC21D42"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Malservisi, R., Hugentobler, U., Wonnacott, R. and Hackl, M., </w:t>
      </w:r>
      <w:r w:rsidR="003A5E34">
        <w:rPr>
          <w:rFonts w:cs="Times New Roman"/>
          <w:sz w:val="20"/>
          <w:szCs w:val="20"/>
          <w:lang w:val="en-ZA"/>
        </w:rPr>
        <w:t>(</w:t>
      </w:r>
      <w:r w:rsidRPr="00927BAD">
        <w:rPr>
          <w:rFonts w:cs="Times New Roman"/>
          <w:sz w:val="20"/>
          <w:szCs w:val="20"/>
          <w:lang w:val="en-ZA"/>
        </w:rPr>
        <w:t>2003</w:t>
      </w:r>
      <w:r w:rsidR="003A5E34">
        <w:rPr>
          <w:rFonts w:cs="Times New Roman"/>
          <w:sz w:val="20"/>
          <w:szCs w:val="20"/>
          <w:lang w:val="en-ZA"/>
        </w:rPr>
        <w:t>)</w:t>
      </w:r>
      <w:r w:rsidRPr="00927BAD">
        <w:rPr>
          <w:rFonts w:cs="Times New Roman"/>
          <w:sz w:val="20"/>
          <w:szCs w:val="20"/>
          <w:lang w:val="en-ZA"/>
        </w:rPr>
        <w:t xml:space="preserve">.  How rigid is a rigid plate? Geodetic constraint from the TrigNet CGPS network, South Africa. </w:t>
      </w:r>
      <w:r w:rsidRPr="00927BAD">
        <w:rPr>
          <w:rFonts w:cs="Times New Roman"/>
          <w:i/>
          <w:iCs/>
          <w:sz w:val="20"/>
          <w:szCs w:val="20"/>
          <w:lang w:val="en-ZA"/>
        </w:rPr>
        <w:t xml:space="preserve">Geophysical Journal International. </w:t>
      </w:r>
      <w:r w:rsidRPr="00927BAD">
        <w:rPr>
          <w:rFonts w:cs="Times New Roman"/>
          <w:b/>
          <w:bCs/>
          <w:sz w:val="20"/>
          <w:szCs w:val="20"/>
          <w:lang w:val="en-ZA"/>
        </w:rPr>
        <w:t>192</w:t>
      </w:r>
      <w:r w:rsidRPr="00927BAD">
        <w:rPr>
          <w:rFonts w:cs="Times New Roman"/>
          <w:sz w:val="20"/>
          <w:szCs w:val="20"/>
          <w:lang w:val="en-ZA"/>
        </w:rPr>
        <w:t>(3), 918–28.</w:t>
      </w:r>
    </w:p>
    <w:p w14:paraId="718CC9DB" w14:textId="58627093" w:rsidR="008F007D" w:rsidRPr="00927BAD" w:rsidRDefault="008F007D" w:rsidP="00D4669C">
      <w:pPr>
        <w:spacing w:line="240" w:lineRule="auto"/>
        <w:jc w:val="both"/>
        <w:rPr>
          <w:rFonts w:cs="Times New Roman"/>
          <w:sz w:val="20"/>
          <w:szCs w:val="20"/>
        </w:rPr>
      </w:pPr>
      <w:r w:rsidRPr="00927BAD">
        <w:rPr>
          <w:rFonts w:cs="Times New Roman"/>
          <w:sz w:val="20"/>
          <w:szCs w:val="20"/>
        </w:rPr>
        <w:t xml:space="preserve">McGarr, A. and Fletcher, J. B. (2005). Development of ground–motion prediction equations relevant to shallow mining–induced seismicity in the Trail Mountain area, Emery County, Utah, </w:t>
      </w:r>
      <w:r w:rsidRPr="00927BAD">
        <w:rPr>
          <w:rFonts w:cs="Times New Roman"/>
          <w:i/>
          <w:iCs/>
          <w:sz w:val="20"/>
          <w:szCs w:val="20"/>
        </w:rPr>
        <w:t>Bulletin of the Seismological Society of America</w:t>
      </w:r>
      <w:r w:rsidRPr="00927BAD">
        <w:rPr>
          <w:rFonts w:cs="Times New Roman"/>
          <w:sz w:val="20"/>
          <w:szCs w:val="20"/>
        </w:rPr>
        <w:t xml:space="preserve">, </w:t>
      </w:r>
      <w:r w:rsidRPr="00927BAD">
        <w:rPr>
          <w:rFonts w:cs="Times New Roman"/>
          <w:b/>
          <w:bCs/>
          <w:sz w:val="20"/>
          <w:szCs w:val="20"/>
        </w:rPr>
        <w:t>95</w:t>
      </w:r>
      <w:r w:rsidRPr="00927BAD">
        <w:rPr>
          <w:rFonts w:cs="Times New Roman"/>
          <w:sz w:val="20"/>
          <w:szCs w:val="20"/>
        </w:rPr>
        <w:t xml:space="preserve">, </w:t>
      </w:r>
      <w:r w:rsidR="003A5E34">
        <w:rPr>
          <w:rFonts w:cs="Times New Roman"/>
          <w:sz w:val="20"/>
          <w:szCs w:val="20"/>
        </w:rPr>
        <w:t>pp.</w:t>
      </w:r>
      <w:r w:rsidRPr="00927BAD">
        <w:rPr>
          <w:rFonts w:cs="Times New Roman"/>
          <w:sz w:val="20"/>
          <w:szCs w:val="20"/>
        </w:rPr>
        <w:t>31-47.</w:t>
      </w:r>
    </w:p>
    <w:p w14:paraId="4128CA19" w14:textId="4C763AD1"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Pezeshk, S., Zandieh, A. and B., Tavakoli (2011). Hybrid Empirical Ground-Motion Prediction Equations for Eastern North America Using NGA Models and Updated Seismological Parameters, </w:t>
      </w:r>
      <w:r w:rsidRPr="00927BAD">
        <w:rPr>
          <w:rFonts w:cs="Times New Roman"/>
          <w:i/>
          <w:iCs/>
          <w:sz w:val="20"/>
          <w:szCs w:val="20"/>
          <w:lang w:val="en-ZA"/>
        </w:rPr>
        <w:t>Bulletin of the Seismological Society of America</w:t>
      </w:r>
      <w:r w:rsidRPr="00927BAD">
        <w:rPr>
          <w:rFonts w:cs="Times New Roman"/>
          <w:sz w:val="20"/>
          <w:szCs w:val="20"/>
          <w:lang w:val="en-ZA"/>
        </w:rPr>
        <w:t xml:space="preserve">, </w:t>
      </w:r>
      <w:r w:rsidRPr="00927BAD">
        <w:rPr>
          <w:rFonts w:cs="Times New Roman"/>
          <w:b/>
          <w:bCs/>
          <w:sz w:val="20"/>
          <w:szCs w:val="20"/>
          <w:lang w:val="en-ZA"/>
        </w:rPr>
        <w:t>101</w:t>
      </w:r>
      <w:r w:rsidRPr="00927BAD">
        <w:rPr>
          <w:rFonts w:cs="Times New Roman"/>
          <w:bCs/>
          <w:sz w:val="20"/>
          <w:szCs w:val="20"/>
          <w:lang w:val="en-ZA"/>
        </w:rPr>
        <w:t>(4)</w:t>
      </w:r>
      <w:r w:rsidRPr="00927BAD">
        <w:rPr>
          <w:rFonts w:cs="Times New Roman"/>
          <w:sz w:val="20"/>
          <w:szCs w:val="20"/>
          <w:lang w:val="en-ZA"/>
        </w:rPr>
        <w:t xml:space="preserve">, </w:t>
      </w:r>
      <w:r w:rsidR="003A5E34">
        <w:rPr>
          <w:rFonts w:cs="Times New Roman"/>
          <w:sz w:val="20"/>
          <w:szCs w:val="20"/>
          <w:lang w:val="en-ZA"/>
        </w:rPr>
        <w:t>pp.</w:t>
      </w:r>
      <w:r w:rsidRPr="00927BAD">
        <w:rPr>
          <w:rFonts w:cs="Times New Roman"/>
          <w:sz w:val="20"/>
          <w:szCs w:val="20"/>
          <w:lang w:val="en-ZA"/>
        </w:rPr>
        <w:t>1859-1870.</w:t>
      </w:r>
    </w:p>
    <w:p w14:paraId="54DDFE84" w14:textId="353CC20E" w:rsidR="008F007D" w:rsidRPr="00927BAD" w:rsidRDefault="008F007D" w:rsidP="00D4669C">
      <w:pPr>
        <w:spacing w:line="240" w:lineRule="auto"/>
        <w:jc w:val="both"/>
        <w:rPr>
          <w:rFonts w:cs="Times New Roman"/>
          <w:sz w:val="20"/>
          <w:szCs w:val="20"/>
        </w:rPr>
      </w:pPr>
      <w:r w:rsidRPr="00927BAD">
        <w:rPr>
          <w:rFonts w:cs="Times New Roman"/>
          <w:sz w:val="20"/>
          <w:szCs w:val="20"/>
        </w:rPr>
        <w:t xml:space="preserve">Rietbrock, A., Strasser, F. and Edwards, B. (2013). A stochastic earthquake ground-motion prediction model for the United Kingdom, </w:t>
      </w:r>
      <w:r w:rsidRPr="00927BAD">
        <w:rPr>
          <w:rFonts w:cs="Times New Roman"/>
          <w:i/>
          <w:iCs/>
          <w:sz w:val="20"/>
          <w:szCs w:val="20"/>
        </w:rPr>
        <w:t>Bulletin of the Seismological Society of America,</w:t>
      </w:r>
      <w:r w:rsidRPr="00927BAD">
        <w:rPr>
          <w:rFonts w:cs="Times New Roman"/>
          <w:sz w:val="20"/>
          <w:szCs w:val="20"/>
        </w:rPr>
        <w:t xml:space="preserve"> </w:t>
      </w:r>
      <w:r w:rsidRPr="00927BAD">
        <w:rPr>
          <w:rFonts w:cs="Times New Roman"/>
          <w:b/>
          <w:sz w:val="20"/>
          <w:szCs w:val="20"/>
        </w:rPr>
        <w:t>103</w:t>
      </w:r>
      <w:r w:rsidRPr="00927BAD">
        <w:rPr>
          <w:rFonts w:cs="Times New Roman"/>
          <w:sz w:val="20"/>
          <w:szCs w:val="20"/>
        </w:rPr>
        <w:t xml:space="preserve">, </w:t>
      </w:r>
      <w:r w:rsidR="003A5E34">
        <w:rPr>
          <w:rFonts w:cs="Times New Roman"/>
          <w:sz w:val="20"/>
          <w:szCs w:val="20"/>
        </w:rPr>
        <w:t>pp.</w:t>
      </w:r>
      <w:r w:rsidRPr="00927BAD">
        <w:rPr>
          <w:rFonts w:cs="Times New Roman"/>
          <w:sz w:val="20"/>
          <w:szCs w:val="20"/>
        </w:rPr>
        <w:t>57-77.</w:t>
      </w:r>
    </w:p>
    <w:p w14:paraId="6379FB32" w14:textId="71FE6A60" w:rsidR="008F007D" w:rsidRPr="00927BAD" w:rsidRDefault="008F007D" w:rsidP="00D4669C">
      <w:pPr>
        <w:spacing w:line="240" w:lineRule="auto"/>
        <w:jc w:val="both"/>
        <w:rPr>
          <w:rFonts w:cs="Times New Roman"/>
          <w:sz w:val="20"/>
          <w:szCs w:val="20"/>
        </w:rPr>
      </w:pPr>
      <w:r w:rsidRPr="00927BAD">
        <w:rPr>
          <w:rFonts w:cs="Times New Roman"/>
          <w:sz w:val="20"/>
          <w:szCs w:val="20"/>
        </w:rPr>
        <w:t xml:space="preserve">Scherbaum, F., Delavaud, E. and Riggelsen, C. (2009). Model selection in seismic hazard analysis: an information-theory perspective, </w:t>
      </w:r>
      <w:r w:rsidRPr="00927BAD">
        <w:rPr>
          <w:rFonts w:cs="Times New Roman"/>
          <w:i/>
          <w:sz w:val="20"/>
          <w:szCs w:val="20"/>
        </w:rPr>
        <w:t>Bulletin of the Seismological Society of America</w:t>
      </w:r>
      <w:r w:rsidRPr="00927BAD">
        <w:rPr>
          <w:rFonts w:cs="Times New Roman"/>
          <w:sz w:val="20"/>
          <w:szCs w:val="20"/>
        </w:rPr>
        <w:t xml:space="preserve">, </w:t>
      </w:r>
      <w:r w:rsidRPr="00927BAD">
        <w:rPr>
          <w:rFonts w:cs="Times New Roman"/>
          <w:b/>
          <w:sz w:val="20"/>
          <w:szCs w:val="20"/>
        </w:rPr>
        <w:t>99</w:t>
      </w:r>
      <w:r w:rsidRPr="00927BAD">
        <w:rPr>
          <w:rFonts w:cs="Times New Roman"/>
          <w:sz w:val="20"/>
          <w:szCs w:val="20"/>
        </w:rPr>
        <w:t xml:space="preserve">, </w:t>
      </w:r>
      <w:r w:rsidR="003A5E34">
        <w:rPr>
          <w:rFonts w:cs="Times New Roman"/>
          <w:sz w:val="20"/>
          <w:szCs w:val="20"/>
        </w:rPr>
        <w:t>pp.</w:t>
      </w:r>
      <w:r w:rsidRPr="00927BAD">
        <w:rPr>
          <w:rFonts w:cs="Times New Roman"/>
          <w:sz w:val="20"/>
          <w:szCs w:val="20"/>
        </w:rPr>
        <w:t>3234-3247.</w:t>
      </w:r>
    </w:p>
    <w:p w14:paraId="59A6A6EC" w14:textId="54F67AAA"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Scherbaum, F., Schmedes, J. and Cotton, F., </w:t>
      </w:r>
      <w:r w:rsidR="003A5E34">
        <w:rPr>
          <w:rFonts w:cs="Times New Roman"/>
          <w:sz w:val="20"/>
          <w:szCs w:val="20"/>
          <w:lang w:val="en-ZA"/>
        </w:rPr>
        <w:t>(</w:t>
      </w:r>
      <w:r w:rsidRPr="00927BAD">
        <w:rPr>
          <w:rFonts w:cs="Times New Roman"/>
          <w:sz w:val="20"/>
          <w:szCs w:val="20"/>
          <w:lang w:val="en-ZA"/>
        </w:rPr>
        <w:t>2004</w:t>
      </w:r>
      <w:r w:rsidR="003A5E34">
        <w:rPr>
          <w:rFonts w:cs="Times New Roman"/>
          <w:sz w:val="20"/>
          <w:szCs w:val="20"/>
          <w:lang w:val="en-ZA"/>
        </w:rPr>
        <w:t>)</w:t>
      </w:r>
      <w:r w:rsidRPr="00927BAD">
        <w:rPr>
          <w:rFonts w:cs="Times New Roman"/>
          <w:sz w:val="20"/>
          <w:szCs w:val="20"/>
          <w:lang w:val="en-ZA"/>
        </w:rPr>
        <w:t>. On the conversion of source-to-site distance measures for extended earthquake source models. </w:t>
      </w:r>
      <w:r w:rsidRPr="00927BAD">
        <w:rPr>
          <w:rFonts w:cs="Times New Roman"/>
          <w:i/>
          <w:iCs/>
          <w:sz w:val="20"/>
          <w:szCs w:val="20"/>
          <w:lang w:val="en-ZA"/>
        </w:rPr>
        <w:t>Bulletin of the Seismological Society of America</w:t>
      </w:r>
      <w:r w:rsidRPr="00927BAD">
        <w:rPr>
          <w:rFonts w:cs="Times New Roman"/>
          <w:sz w:val="20"/>
          <w:szCs w:val="20"/>
          <w:lang w:val="en-ZA"/>
        </w:rPr>
        <w:t>, </w:t>
      </w:r>
      <w:r w:rsidRPr="00927BAD">
        <w:rPr>
          <w:rFonts w:cs="Times New Roman"/>
          <w:i/>
          <w:iCs/>
          <w:sz w:val="20"/>
          <w:szCs w:val="20"/>
          <w:lang w:val="en-ZA"/>
        </w:rPr>
        <w:t>94</w:t>
      </w:r>
      <w:r w:rsidRPr="00927BAD">
        <w:rPr>
          <w:rFonts w:cs="Times New Roman"/>
          <w:sz w:val="20"/>
          <w:szCs w:val="20"/>
          <w:lang w:val="en-ZA"/>
        </w:rPr>
        <w:t>(3), pp.1053-1069.</w:t>
      </w:r>
    </w:p>
    <w:p w14:paraId="695E8BF1" w14:textId="3123B824"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Shoja-Taheri, J., S., Naserieh and G., Hadi (2010). A test of the applicability of NGA models to the strong ground-motion data in the Iranian plateau, </w:t>
      </w:r>
      <w:r w:rsidRPr="00927BAD">
        <w:rPr>
          <w:rFonts w:cs="Times New Roman"/>
          <w:i/>
          <w:sz w:val="20"/>
          <w:szCs w:val="20"/>
          <w:lang w:val="en-ZA"/>
        </w:rPr>
        <w:t>Journal of Earthquake Engineering</w:t>
      </w:r>
      <w:r w:rsidRPr="00927BAD">
        <w:rPr>
          <w:rFonts w:cs="Times New Roman"/>
          <w:sz w:val="20"/>
          <w:szCs w:val="20"/>
          <w:lang w:val="en-ZA"/>
        </w:rPr>
        <w:t xml:space="preserve">, </w:t>
      </w:r>
      <w:r w:rsidRPr="00927BAD">
        <w:rPr>
          <w:rFonts w:cs="Times New Roman"/>
          <w:b/>
          <w:sz w:val="20"/>
          <w:szCs w:val="20"/>
          <w:lang w:val="en-ZA"/>
        </w:rPr>
        <w:t>14</w:t>
      </w:r>
      <w:r w:rsidRPr="00927BAD">
        <w:rPr>
          <w:rFonts w:cs="Times New Roman"/>
          <w:sz w:val="20"/>
          <w:szCs w:val="20"/>
          <w:lang w:val="en-ZA"/>
        </w:rPr>
        <w:t xml:space="preserve">, </w:t>
      </w:r>
      <w:r w:rsidR="003A5E34">
        <w:rPr>
          <w:rFonts w:cs="Times New Roman"/>
          <w:sz w:val="20"/>
          <w:szCs w:val="20"/>
          <w:lang w:val="en-ZA"/>
        </w:rPr>
        <w:t>pp.</w:t>
      </w:r>
      <w:r w:rsidRPr="00927BAD">
        <w:rPr>
          <w:rFonts w:cs="Times New Roman"/>
          <w:sz w:val="20"/>
          <w:szCs w:val="20"/>
          <w:lang w:val="en-ZA"/>
        </w:rPr>
        <w:t>278 – 292.</w:t>
      </w:r>
    </w:p>
    <w:p w14:paraId="6B2B7F14" w14:textId="77777777"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Silva, W., N., Gregor and R., Darragh (2002). Development of regional hard rock attenuation relations for central and eastern North America, </w:t>
      </w:r>
      <w:r w:rsidRPr="00927BAD">
        <w:rPr>
          <w:rFonts w:cs="Times New Roman"/>
          <w:i/>
          <w:sz w:val="20"/>
          <w:szCs w:val="20"/>
          <w:lang w:val="en-ZA"/>
        </w:rPr>
        <w:t xml:space="preserve">Technical Report, </w:t>
      </w:r>
      <w:r w:rsidRPr="00927BAD">
        <w:rPr>
          <w:rFonts w:cs="Times New Roman"/>
          <w:sz w:val="20"/>
          <w:szCs w:val="20"/>
          <w:lang w:val="en-ZA"/>
        </w:rPr>
        <w:t>Pacific Engineering and Analysis.</w:t>
      </w:r>
    </w:p>
    <w:p w14:paraId="3C99D1F6" w14:textId="77777777" w:rsidR="003367C5" w:rsidRPr="003367C5" w:rsidRDefault="003367C5" w:rsidP="003367C5">
      <w:pPr>
        <w:spacing w:line="240" w:lineRule="auto"/>
        <w:jc w:val="both"/>
        <w:rPr>
          <w:rFonts w:cs="Times New Roman"/>
          <w:sz w:val="20"/>
          <w:szCs w:val="20"/>
          <w:lang w:val="en-US"/>
        </w:rPr>
      </w:pPr>
      <w:r w:rsidRPr="003367C5">
        <w:rPr>
          <w:rFonts w:cs="Times New Roman"/>
          <w:sz w:val="20"/>
          <w:szCs w:val="20"/>
          <w:lang w:val="en-US"/>
        </w:rPr>
        <w:t>Stamps, D.S., Saria, E. and Kreemer, C., 2018. A geodetic strain rate model for the East African Rift system. </w:t>
      </w:r>
      <w:r w:rsidRPr="003367C5">
        <w:rPr>
          <w:rFonts w:cs="Times New Roman"/>
          <w:i/>
          <w:iCs/>
          <w:sz w:val="20"/>
          <w:szCs w:val="20"/>
          <w:lang w:val="en-US"/>
        </w:rPr>
        <w:t>Scientific reports</w:t>
      </w:r>
      <w:r w:rsidRPr="003367C5">
        <w:rPr>
          <w:rFonts w:cs="Times New Roman"/>
          <w:sz w:val="20"/>
          <w:szCs w:val="20"/>
          <w:lang w:val="en-US"/>
        </w:rPr>
        <w:t>, </w:t>
      </w:r>
      <w:r w:rsidRPr="003367C5">
        <w:rPr>
          <w:rFonts w:cs="Times New Roman"/>
          <w:b/>
          <w:iCs/>
          <w:sz w:val="20"/>
          <w:szCs w:val="20"/>
          <w:lang w:val="en-US"/>
        </w:rPr>
        <w:t>8</w:t>
      </w:r>
      <w:r w:rsidRPr="003367C5">
        <w:rPr>
          <w:rFonts w:cs="Times New Roman"/>
          <w:b/>
          <w:sz w:val="20"/>
          <w:szCs w:val="20"/>
          <w:lang w:val="en-US"/>
        </w:rPr>
        <w:t>(1)</w:t>
      </w:r>
      <w:r w:rsidRPr="003367C5">
        <w:rPr>
          <w:rFonts w:cs="Times New Roman"/>
          <w:sz w:val="20"/>
          <w:szCs w:val="20"/>
          <w:lang w:val="en-US"/>
        </w:rPr>
        <w:t>, pp.1-8.</w:t>
      </w:r>
    </w:p>
    <w:p w14:paraId="2549DB32" w14:textId="77777777" w:rsidR="00D8588A" w:rsidRDefault="00D8588A" w:rsidP="00D4669C">
      <w:pPr>
        <w:spacing w:line="240" w:lineRule="auto"/>
        <w:jc w:val="both"/>
        <w:rPr>
          <w:rFonts w:cs="Times New Roman"/>
          <w:sz w:val="20"/>
          <w:szCs w:val="20"/>
        </w:rPr>
      </w:pPr>
      <w:r w:rsidRPr="00D8588A">
        <w:rPr>
          <w:rFonts w:cs="Times New Roman"/>
          <w:sz w:val="20"/>
          <w:szCs w:val="20"/>
        </w:rPr>
        <w:t>Skarlatoudis, A.A., 2017. Applicability of ground-motion prediction equations to a Greek within-slab earthquake dataset. </w:t>
      </w:r>
      <w:r w:rsidRPr="00D8588A">
        <w:rPr>
          <w:rFonts w:cs="Times New Roman"/>
          <w:i/>
          <w:iCs/>
          <w:sz w:val="20"/>
          <w:szCs w:val="20"/>
        </w:rPr>
        <w:t>Bulletin of Earthquake Engineering</w:t>
      </w:r>
      <w:r w:rsidRPr="00D8588A">
        <w:rPr>
          <w:rFonts w:cs="Times New Roman"/>
          <w:sz w:val="20"/>
          <w:szCs w:val="20"/>
        </w:rPr>
        <w:t>, </w:t>
      </w:r>
      <w:r w:rsidRPr="00D8588A">
        <w:rPr>
          <w:rFonts w:cs="Times New Roman"/>
          <w:i/>
          <w:iCs/>
          <w:sz w:val="20"/>
          <w:szCs w:val="20"/>
        </w:rPr>
        <w:t>15</w:t>
      </w:r>
      <w:r w:rsidRPr="00D8588A">
        <w:rPr>
          <w:rFonts w:cs="Times New Roman"/>
          <w:sz w:val="20"/>
          <w:szCs w:val="20"/>
        </w:rPr>
        <w:t>, pp.3987-4008.</w:t>
      </w:r>
    </w:p>
    <w:p w14:paraId="7EB71CFF" w14:textId="3F39BE64" w:rsidR="008F007D" w:rsidRPr="00927BAD" w:rsidRDefault="008F007D" w:rsidP="00D8588A">
      <w:pPr>
        <w:spacing w:line="240" w:lineRule="auto"/>
        <w:jc w:val="both"/>
        <w:rPr>
          <w:rFonts w:cs="Times New Roman"/>
          <w:sz w:val="20"/>
          <w:szCs w:val="20"/>
          <w:lang w:val="en-ZA"/>
        </w:rPr>
      </w:pPr>
      <w:r w:rsidRPr="00927BAD">
        <w:rPr>
          <w:rFonts w:cs="Times New Roman"/>
          <w:sz w:val="20"/>
          <w:szCs w:val="20"/>
          <w:lang w:val="en-ZA"/>
        </w:rPr>
        <w:t xml:space="preserve">Stewart, J.P., Douglas, J., Javanbarg, M., Bozorgnia, Y., Abrahamson, N.A., Boore, D.M., Campbell, K.W., Delavaud, E., Erdik, M. and Stafford, P.J., </w:t>
      </w:r>
      <w:r w:rsidR="004B1257">
        <w:rPr>
          <w:rFonts w:cs="Times New Roman"/>
          <w:sz w:val="20"/>
          <w:szCs w:val="20"/>
          <w:lang w:val="en-ZA"/>
        </w:rPr>
        <w:t>(</w:t>
      </w:r>
      <w:r w:rsidRPr="00927BAD">
        <w:rPr>
          <w:rFonts w:cs="Times New Roman"/>
          <w:sz w:val="20"/>
          <w:szCs w:val="20"/>
          <w:lang w:val="en-ZA"/>
        </w:rPr>
        <w:t>2015</w:t>
      </w:r>
      <w:r w:rsidR="004B1257">
        <w:rPr>
          <w:rFonts w:cs="Times New Roman"/>
          <w:sz w:val="20"/>
          <w:szCs w:val="20"/>
          <w:lang w:val="en-ZA"/>
        </w:rPr>
        <w:t>)</w:t>
      </w:r>
      <w:r w:rsidRPr="00927BAD">
        <w:rPr>
          <w:rFonts w:cs="Times New Roman"/>
          <w:sz w:val="20"/>
          <w:szCs w:val="20"/>
          <w:lang w:val="en-ZA"/>
        </w:rPr>
        <w:t>. Selection of ground motion prediction equations for the Global Earthquake Model. </w:t>
      </w:r>
      <w:r w:rsidRPr="00927BAD">
        <w:rPr>
          <w:rFonts w:cs="Times New Roman"/>
          <w:i/>
          <w:iCs/>
          <w:sz w:val="20"/>
          <w:szCs w:val="20"/>
          <w:lang w:val="en-ZA"/>
        </w:rPr>
        <w:t>Earthquake Spectra</w:t>
      </w:r>
      <w:r w:rsidRPr="00927BAD">
        <w:rPr>
          <w:rFonts w:cs="Times New Roman"/>
          <w:sz w:val="20"/>
          <w:szCs w:val="20"/>
          <w:lang w:val="en-ZA"/>
        </w:rPr>
        <w:t>, </w:t>
      </w:r>
      <w:r w:rsidRPr="00927BAD">
        <w:rPr>
          <w:rFonts w:cs="Times New Roman"/>
          <w:i/>
          <w:iCs/>
          <w:sz w:val="20"/>
          <w:szCs w:val="20"/>
          <w:lang w:val="en-ZA"/>
        </w:rPr>
        <w:t>31</w:t>
      </w:r>
      <w:r w:rsidRPr="00927BAD">
        <w:rPr>
          <w:rFonts w:cs="Times New Roman"/>
          <w:sz w:val="20"/>
          <w:szCs w:val="20"/>
          <w:lang w:val="en-ZA"/>
        </w:rPr>
        <w:t>(1), pp.19-45.</w:t>
      </w:r>
    </w:p>
    <w:p w14:paraId="51E050DB" w14:textId="62FD9C26"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Toro, G.R., N.A., Abrahamson and J.F., Schneider (1997). Model of strong ground motions from earthquake in central and eastern North America: Best estimates and uncertainties, </w:t>
      </w:r>
      <w:r w:rsidRPr="00927BAD">
        <w:rPr>
          <w:rFonts w:cs="Times New Roman"/>
          <w:i/>
          <w:iCs/>
          <w:sz w:val="20"/>
          <w:szCs w:val="20"/>
          <w:lang w:val="en-ZA"/>
        </w:rPr>
        <w:t>Seismological Research Letters</w:t>
      </w:r>
      <w:r w:rsidRPr="00927BAD">
        <w:rPr>
          <w:rFonts w:cs="Times New Roman"/>
          <w:sz w:val="20"/>
          <w:szCs w:val="20"/>
          <w:lang w:val="en-ZA"/>
        </w:rPr>
        <w:t xml:space="preserve">, </w:t>
      </w:r>
      <w:r w:rsidRPr="00927BAD">
        <w:rPr>
          <w:rFonts w:cs="Times New Roman"/>
          <w:b/>
          <w:bCs/>
          <w:sz w:val="20"/>
          <w:szCs w:val="20"/>
          <w:lang w:val="en-ZA"/>
        </w:rPr>
        <w:t>68</w:t>
      </w:r>
      <w:r w:rsidRPr="00927BAD">
        <w:rPr>
          <w:rFonts w:cs="Times New Roman"/>
          <w:bCs/>
          <w:sz w:val="20"/>
          <w:szCs w:val="20"/>
          <w:lang w:val="en-ZA"/>
        </w:rPr>
        <w:t>(1</w:t>
      </w:r>
      <w:r w:rsidR="003A5E34" w:rsidRPr="00927BAD">
        <w:rPr>
          <w:rFonts w:cs="Times New Roman"/>
          <w:bCs/>
          <w:sz w:val="20"/>
          <w:szCs w:val="20"/>
          <w:lang w:val="en-ZA"/>
        </w:rPr>
        <w:t>)</w:t>
      </w:r>
      <w:r w:rsidR="003A5E34" w:rsidRPr="00927BAD">
        <w:rPr>
          <w:rFonts w:cs="Times New Roman"/>
          <w:sz w:val="20"/>
          <w:szCs w:val="20"/>
          <w:lang w:val="en-ZA"/>
        </w:rPr>
        <w:t>,</w:t>
      </w:r>
      <w:r w:rsidR="003A5E34">
        <w:rPr>
          <w:rFonts w:cs="Times New Roman"/>
          <w:sz w:val="20"/>
          <w:szCs w:val="20"/>
          <w:lang w:val="en-ZA"/>
        </w:rPr>
        <w:t xml:space="preserve"> pp.</w:t>
      </w:r>
      <w:r w:rsidRPr="00927BAD">
        <w:rPr>
          <w:rFonts w:cs="Times New Roman"/>
          <w:sz w:val="20"/>
          <w:szCs w:val="20"/>
          <w:lang w:val="en-ZA"/>
        </w:rPr>
        <w:t xml:space="preserve"> 41–57.</w:t>
      </w:r>
    </w:p>
    <w:p w14:paraId="258AC2E4" w14:textId="77777777"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Toro, G.R. (2002). Modification of the Toro </w:t>
      </w:r>
      <w:r w:rsidRPr="00927BAD">
        <w:rPr>
          <w:rFonts w:cs="Times New Roman"/>
          <w:i/>
          <w:sz w:val="20"/>
          <w:szCs w:val="20"/>
          <w:lang w:val="en-ZA"/>
        </w:rPr>
        <w:t>et al.</w:t>
      </w:r>
      <w:r w:rsidRPr="00927BAD">
        <w:rPr>
          <w:rFonts w:cs="Times New Roman"/>
          <w:sz w:val="20"/>
          <w:szCs w:val="20"/>
          <w:lang w:val="en-ZA"/>
        </w:rPr>
        <w:t xml:space="preserve">  (1997) attenuation equations for large magnitudes and short distances, </w:t>
      </w:r>
      <w:r w:rsidRPr="00927BAD">
        <w:rPr>
          <w:rFonts w:cs="Times New Roman"/>
          <w:i/>
          <w:sz w:val="20"/>
          <w:szCs w:val="20"/>
          <w:lang w:val="en-ZA"/>
        </w:rPr>
        <w:t>Technical Report</w:t>
      </w:r>
      <w:r w:rsidRPr="00927BAD">
        <w:rPr>
          <w:rFonts w:cs="Times New Roman"/>
          <w:sz w:val="20"/>
          <w:szCs w:val="20"/>
          <w:lang w:val="en-ZA"/>
        </w:rPr>
        <w:t xml:space="preserve">, Risk Engineering. </w:t>
      </w:r>
    </w:p>
    <w:p w14:paraId="57637CCB" w14:textId="77777777" w:rsidR="008F007D" w:rsidRPr="00927BAD" w:rsidRDefault="008F007D" w:rsidP="00D4669C">
      <w:pPr>
        <w:spacing w:line="240" w:lineRule="auto"/>
        <w:jc w:val="both"/>
        <w:rPr>
          <w:rFonts w:cs="Times New Roman"/>
          <w:sz w:val="20"/>
          <w:szCs w:val="20"/>
          <w:lang w:val="en-ZA"/>
        </w:rPr>
      </w:pPr>
      <w:r w:rsidRPr="00927BAD">
        <w:rPr>
          <w:rFonts w:cs="Times New Roman"/>
          <w:sz w:val="20"/>
          <w:szCs w:val="20"/>
          <w:lang w:val="en-ZA"/>
        </w:rPr>
        <w:t xml:space="preserve">Zulu 2018. </w:t>
      </w:r>
      <w:r w:rsidRPr="00927BAD">
        <w:rPr>
          <w:rFonts w:cs="Times New Roman"/>
          <w:i/>
          <w:sz w:val="20"/>
          <w:szCs w:val="20"/>
          <w:lang w:val="en-ZA"/>
        </w:rPr>
        <w:t>Time-dependent seismic hazard assessment in the mining regions of the Gauteng province, South Africa</w:t>
      </w:r>
      <w:r w:rsidRPr="00927BAD">
        <w:rPr>
          <w:rFonts w:cs="Times New Roman"/>
          <w:sz w:val="20"/>
          <w:szCs w:val="20"/>
          <w:lang w:val="en-ZA"/>
        </w:rPr>
        <w:t>, unpublished MSc thesis. University of Witwatersrand.</w:t>
      </w:r>
    </w:p>
    <w:p w14:paraId="1EB75B07" w14:textId="77777777" w:rsidR="003716FA" w:rsidRPr="00927BAD" w:rsidRDefault="003716FA" w:rsidP="00D4669C">
      <w:pPr>
        <w:spacing w:line="240" w:lineRule="auto"/>
        <w:jc w:val="both"/>
        <w:rPr>
          <w:rFonts w:cs="Times New Roman"/>
          <w:sz w:val="20"/>
          <w:szCs w:val="20"/>
        </w:rPr>
      </w:pPr>
    </w:p>
    <w:sectPr w:rsidR="003716FA" w:rsidRPr="00927BAD" w:rsidSect="003E37D8">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46FA4" w14:textId="77777777" w:rsidR="00295EAB" w:rsidRDefault="00295EAB">
      <w:pPr>
        <w:spacing w:after="0" w:line="240" w:lineRule="auto"/>
      </w:pPr>
      <w:r>
        <w:separator/>
      </w:r>
    </w:p>
  </w:endnote>
  <w:endnote w:type="continuationSeparator" w:id="0">
    <w:p w14:paraId="66F87266" w14:textId="77777777" w:rsidR="00295EAB" w:rsidRDefault="00295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759096983"/>
      <w:docPartObj>
        <w:docPartGallery w:val="Page Numbers (Bottom of Page)"/>
        <w:docPartUnique/>
      </w:docPartObj>
    </w:sdtPr>
    <w:sdtEndPr>
      <w:rPr>
        <w:noProof/>
      </w:rPr>
    </w:sdtEndPr>
    <w:sdtContent>
      <w:p w14:paraId="514832A0" w14:textId="12BC90CE" w:rsidR="005E75CA" w:rsidRDefault="005E75CA">
        <w:pPr>
          <w:pStyle w:val="Footer"/>
        </w:pPr>
        <w:r>
          <w:rPr>
            <w:noProof w:val="0"/>
          </w:rPr>
          <w:fldChar w:fldCharType="begin"/>
        </w:r>
        <w:r>
          <w:instrText xml:space="preserve"> PAGE   \* MERGEFORMAT </w:instrText>
        </w:r>
        <w:r>
          <w:rPr>
            <w:noProof w:val="0"/>
          </w:rPr>
          <w:fldChar w:fldCharType="separate"/>
        </w:r>
        <w:r w:rsidR="00A84A87">
          <w:t>9</w:t>
        </w:r>
        <w:r>
          <w:fldChar w:fldCharType="end"/>
        </w:r>
      </w:p>
    </w:sdtContent>
  </w:sdt>
  <w:p w14:paraId="59CB126B" w14:textId="77777777" w:rsidR="005E75CA" w:rsidRPr="00620505" w:rsidRDefault="005E75CA" w:rsidP="00C52E7C">
    <w:pPr>
      <w:pStyle w:val="Header"/>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E611D" w14:textId="77777777" w:rsidR="00295EAB" w:rsidRDefault="00295EAB">
      <w:pPr>
        <w:spacing w:after="0" w:line="240" w:lineRule="auto"/>
      </w:pPr>
      <w:r>
        <w:separator/>
      </w:r>
    </w:p>
  </w:footnote>
  <w:footnote w:type="continuationSeparator" w:id="0">
    <w:p w14:paraId="319F6A69" w14:textId="77777777" w:rsidR="00295EAB" w:rsidRDefault="00295E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51E"/>
    <w:multiLevelType w:val="hybridMultilevel"/>
    <w:tmpl w:val="EAA43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A11F7"/>
    <w:multiLevelType w:val="hybridMultilevel"/>
    <w:tmpl w:val="469A1306"/>
    <w:lvl w:ilvl="0" w:tplc="7D000F9C">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A8011AC"/>
    <w:multiLevelType w:val="multilevel"/>
    <w:tmpl w:val="EA3215AC"/>
    <w:lvl w:ilvl="0">
      <w:start w:val="1"/>
      <w:numFmt w:val="none"/>
      <w:pStyle w:val="Heading1"/>
      <w:suff w:val="space"/>
      <w:lvlText w:val="Appendix%1:"/>
      <w:lvlJc w:val="left"/>
      <w:pPr>
        <w:ind w:left="431" w:hanging="431"/>
      </w:pPr>
      <w:rPr>
        <w:rFonts w:ascii="Times New Roman Bold" w:hAnsi="Times New Roman Bold" w:hint="default"/>
        <w:b/>
        <w:i w:val="0"/>
        <w:sz w:val="32"/>
        <w:szCs w:val="24"/>
      </w:rPr>
    </w:lvl>
    <w:lvl w:ilvl="1">
      <w:start w:val="1"/>
      <w:numFmt w:val="upperLetter"/>
      <w:pStyle w:val="Heading2"/>
      <w:suff w:val="space"/>
      <w:lvlText w:val="%1Appendix %2."/>
      <w:lvlJc w:val="left"/>
      <w:pPr>
        <w:ind w:left="1141" w:hanging="431"/>
      </w:pPr>
      <w:rPr>
        <w:rFonts w:ascii="Times New Roman Bold" w:hAnsi="Times New Roman Bold" w:hint="default"/>
        <w:b/>
        <w:i w:val="0"/>
        <w:sz w:val="28"/>
        <w:szCs w:val="24"/>
      </w:rPr>
    </w:lvl>
    <w:lvl w:ilvl="2">
      <w:start w:val="1"/>
      <w:numFmt w:val="decimal"/>
      <w:pStyle w:val="Heading3"/>
      <w:suff w:val="space"/>
      <w:lvlText w:val="%1%2.%3."/>
      <w:lvlJc w:val="left"/>
      <w:pPr>
        <w:ind w:left="431" w:hanging="431"/>
      </w:pPr>
      <w:rPr>
        <w:rFonts w:ascii="Times New Roman Bold" w:hAnsi="Times New Roman Bold" w:hint="default"/>
        <w:b/>
        <w:i w:val="0"/>
        <w:sz w:val="24"/>
        <w:szCs w:val="24"/>
        <w:vertAlign w:val="baseline"/>
      </w:rPr>
    </w:lvl>
    <w:lvl w:ilvl="3">
      <w:start w:val="1"/>
      <w:numFmt w:val="decimal"/>
      <w:pStyle w:val="Heading4"/>
      <w:suff w:val="space"/>
      <w:lvlText w:val="%1.%2.%3.%4."/>
      <w:lvlJc w:val="left"/>
      <w:pPr>
        <w:ind w:left="431" w:hanging="431"/>
      </w:pPr>
      <w:rPr>
        <w:rFonts w:ascii="Times New Roman" w:hAnsi="Times New Roman" w:hint="default"/>
        <w:caps w:val="0"/>
        <w:sz w:val="24"/>
        <w:szCs w:val="20"/>
      </w:rPr>
    </w:lvl>
    <w:lvl w:ilvl="4">
      <w:start w:val="1"/>
      <w:numFmt w:val="decimal"/>
      <w:pStyle w:val="Heading5"/>
      <w:lvlText w:val="%1.%2.%3.%4.%5."/>
      <w:lvlJc w:val="left"/>
      <w:pPr>
        <w:tabs>
          <w:tab w:val="num" w:pos="432"/>
        </w:tabs>
        <w:ind w:left="431" w:hanging="431"/>
      </w:pPr>
      <w:rPr>
        <w:rFonts w:hint="default"/>
      </w:rPr>
    </w:lvl>
    <w:lvl w:ilvl="5">
      <w:start w:val="1"/>
      <w:numFmt w:val="decimal"/>
      <w:pStyle w:val="Heading6"/>
      <w:lvlText w:val="%1.%2.%3.%4.%5.%6"/>
      <w:lvlJc w:val="left"/>
      <w:pPr>
        <w:tabs>
          <w:tab w:val="num" w:pos="432"/>
        </w:tabs>
        <w:ind w:left="431" w:hanging="431"/>
      </w:pPr>
      <w:rPr>
        <w:rFonts w:hint="default"/>
      </w:rPr>
    </w:lvl>
    <w:lvl w:ilvl="6">
      <w:start w:val="1"/>
      <w:numFmt w:val="decimal"/>
      <w:pStyle w:val="Heading7"/>
      <w:lvlText w:val="%1.%2.%3.%4.%5.%6.%7"/>
      <w:lvlJc w:val="left"/>
      <w:pPr>
        <w:tabs>
          <w:tab w:val="num" w:pos="432"/>
        </w:tabs>
        <w:ind w:left="431" w:hanging="431"/>
      </w:pPr>
      <w:rPr>
        <w:rFonts w:hint="default"/>
      </w:rPr>
    </w:lvl>
    <w:lvl w:ilvl="7">
      <w:start w:val="1"/>
      <w:numFmt w:val="decimal"/>
      <w:pStyle w:val="Heading8"/>
      <w:lvlText w:val="%1.%2.%3.%4.%5.%6.%7.%8"/>
      <w:lvlJc w:val="left"/>
      <w:pPr>
        <w:tabs>
          <w:tab w:val="num" w:pos="432"/>
        </w:tabs>
        <w:ind w:left="431" w:hanging="431"/>
      </w:pPr>
      <w:rPr>
        <w:rFonts w:hint="default"/>
      </w:rPr>
    </w:lvl>
    <w:lvl w:ilvl="8">
      <w:start w:val="1"/>
      <w:numFmt w:val="decimal"/>
      <w:pStyle w:val="Heading9"/>
      <w:lvlText w:val="%1.%2.%3.%4.%5.%6.%7.%8.%9"/>
      <w:lvlJc w:val="left"/>
      <w:pPr>
        <w:tabs>
          <w:tab w:val="num" w:pos="432"/>
        </w:tabs>
        <w:ind w:left="431" w:hanging="431"/>
      </w:pPr>
      <w:rPr>
        <w:rFonts w:hint="default"/>
      </w:rPr>
    </w:lvl>
  </w:abstractNum>
  <w:abstractNum w:abstractNumId="3" w15:restartNumberingAfterBreak="0">
    <w:nsid w:val="4874590E"/>
    <w:multiLevelType w:val="multilevel"/>
    <w:tmpl w:val="2A7E99B0"/>
    <w:lvl w:ilvl="0">
      <w:start w:val="1"/>
      <w:numFmt w:val="decimal"/>
      <w:suff w:val="space"/>
      <w:lvlText w:val="Chapter %1:"/>
      <w:lvlJc w:val="left"/>
      <w:pPr>
        <w:ind w:left="431" w:hanging="431"/>
      </w:pPr>
      <w:rPr>
        <w:rFonts w:ascii="Times New Roman Bold" w:hAnsi="Times New Roman Bold" w:hint="default"/>
        <w:b/>
        <w:i w:val="0"/>
        <w:sz w:val="32"/>
        <w:szCs w:val="24"/>
      </w:rPr>
    </w:lvl>
    <w:lvl w:ilvl="1">
      <w:start w:val="1"/>
      <w:numFmt w:val="decimal"/>
      <w:suff w:val="space"/>
      <w:lvlText w:val="%1.%2."/>
      <w:lvlJc w:val="left"/>
      <w:pPr>
        <w:ind w:left="431" w:hanging="431"/>
      </w:pPr>
      <w:rPr>
        <w:rFonts w:ascii="Times New Roman Bold" w:hAnsi="Times New Roman Bold" w:hint="default"/>
        <w:b/>
        <w:i w:val="0"/>
        <w:sz w:val="28"/>
        <w:szCs w:val="24"/>
      </w:rPr>
    </w:lvl>
    <w:lvl w:ilvl="2">
      <w:start w:val="1"/>
      <w:numFmt w:val="decimal"/>
      <w:suff w:val="space"/>
      <w:lvlText w:val="%1.%2.%3."/>
      <w:lvlJc w:val="left"/>
      <w:pPr>
        <w:ind w:left="431" w:hanging="431"/>
      </w:pPr>
      <w:rPr>
        <w:rFonts w:ascii="Times New Roman Bold" w:hAnsi="Times New Roman Bold" w:hint="default"/>
        <w:b/>
        <w:i w:val="0"/>
        <w:sz w:val="28"/>
        <w:szCs w:val="28"/>
        <w:vertAlign w:val="baseline"/>
      </w:rPr>
    </w:lvl>
    <w:lvl w:ilvl="3">
      <w:start w:val="1"/>
      <w:numFmt w:val="decimal"/>
      <w:suff w:val="space"/>
      <w:lvlText w:val="%1.%2.%3.%4."/>
      <w:lvlJc w:val="left"/>
      <w:pPr>
        <w:ind w:left="431" w:hanging="431"/>
      </w:pPr>
      <w:rPr>
        <w:rFonts w:ascii="Times New Roman" w:hAnsi="Times New Roman" w:hint="default"/>
        <w:caps w:val="0"/>
        <w:sz w:val="24"/>
        <w:szCs w:val="20"/>
      </w:rPr>
    </w:lvl>
    <w:lvl w:ilvl="4">
      <w:start w:val="1"/>
      <w:numFmt w:val="decimal"/>
      <w:lvlText w:val="%1.%2.%3.%4.%5."/>
      <w:lvlJc w:val="left"/>
      <w:pPr>
        <w:tabs>
          <w:tab w:val="num" w:pos="432"/>
        </w:tabs>
        <w:ind w:left="431" w:hanging="431"/>
      </w:pPr>
      <w:rPr>
        <w:rFonts w:hint="default"/>
      </w:rPr>
    </w:lvl>
    <w:lvl w:ilvl="5">
      <w:start w:val="1"/>
      <w:numFmt w:val="decimal"/>
      <w:lvlText w:val="%1.%2.%3.%4.%5.%6"/>
      <w:lvlJc w:val="left"/>
      <w:pPr>
        <w:tabs>
          <w:tab w:val="num" w:pos="432"/>
        </w:tabs>
        <w:ind w:left="431" w:hanging="431"/>
      </w:pPr>
      <w:rPr>
        <w:rFonts w:hint="default"/>
      </w:rPr>
    </w:lvl>
    <w:lvl w:ilvl="6">
      <w:start w:val="1"/>
      <w:numFmt w:val="decimal"/>
      <w:lvlText w:val="%1.%2.%3.%4.%5.%6.%7"/>
      <w:lvlJc w:val="left"/>
      <w:pPr>
        <w:tabs>
          <w:tab w:val="num" w:pos="432"/>
        </w:tabs>
        <w:ind w:left="431" w:hanging="431"/>
      </w:pPr>
      <w:rPr>
        <w:rFonts w:hint="default"/>
      </w:rPr>
    </w:lvl>
    <w:lvl w:ilvl="7">
      <w:start w:val="1"/>
      <w:numFmt w:val="decimal"/>
      <w:lvlText w:val="%1.%2.%3.%4.%5.%6.%7.%8"/>
      <w:lvlJc w:val="left"/>
      <w:pPr>
        <w:tabs>
          <w:tab w:val="num" w:pos="432"/>
        </w:tabs>
        <w:ind w:left="431" w:hanging="431"/>
      </w:pPr>
      <w:rPr>
        <w:rFonts w:hint="default"/>
      </w:rPr>
    </w:lvl>
    <w:lvl w:ilvl="8">
      <w:start w:val="1"/>
      <w:numFmt w:val="decimal"/>
      <w:lvlText w:val="%1.%2.%3.%4.%5.%6.%7.%8.%9"/>
      <w:lvlJc w:val="left"/>
      <w:pPr>
        <w:tabs>
          <w:tab w:val="num" w:pos="432"/>
        </w:tabs>
        <w:ind w:left="431" w:hanging="431"/>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428"/>
    <w:rsid w:val="00022E8F"/>
    <w:rsid w:val="00024DFD"/>
    <w:rsid w:val="00047103"/>
    <w:rsid w:val="00072A2F"/>
    <w:rsid w:val="000878A1"/>
    <w:rsid w:val="000A74AD"/>
    <w:rsid w:val="000D2466"/>
    <w:rsid w:val="000D4F0B"/>
    <w:rsid w:val="00101453"/>
    <w:rsid w:val="00106178"/>
    <w:rsid w:val="00120E82"/>
    <w:rsid w:val="00122A52"/>
    <w:rsid w:val="001539A1"/>
    <w:rsid w:val="00172D89"/>
    <w:rsid w:val="0018477F"/>
    <w:rsid w:val="001B59C9"/>
    <w:rsid w:val="001F191F"/>
    <w:rsid w:val="0020600C"/>
    <w:rsid w:val="002072FC"/>
    <w:rsid w:val="0023003D"/>
    <w:rsid w:val="00241D56"/>
    <w:rsid w:val="00255451"/>
    <w:rsid w:val="00293196"/>
    <w:rsid w:val="00295EAB"/>
    <w:rsid w:val="002A4EB5"/>
    <w:rsid w:val="002B3B9F"/>
    <w:rsid w:val="002E2184"/>
    <w:rsid w:val="002F3BD5"/>
    <w:rsid w:val="00312F3B"/>
    <w:rsid w:val="003267A6"/>
    <w:rsid w:val="003367C5"/>
    <w:rsid w:val="003716FA"/>
    <w:rsid w:val="003722D2"/>
    <w:rsid w:val="003A5E34"/>
    <w:rsid w:val="003D293C"/>
    <w:rsid w:val="003E326A"/>
    <w:rsid w:val="003E37D8"/>
    <w:rsid w:val="004361AB"/>
    <w:rsid w:val="00450F4F"/>
    <w:rsid w:val="00481F1E"/>
    <w:rsid w:val="00486EF6"/>
    <w:rsid w:val="004919F4"/>
    <w:rsid w:val="004B1257"/>
    <w:rsid w:val="004B7773"/>
    <w:rsid w:val="004C5425"/>
    <w:rsid w:val="004C5428"/>
    <w:rsid w:val="004E33AB"/>
    <w:rsid w:val="005248D6"/>
    <w:rsid w:val="0056415F"/>
    <w:rsid w:val="00587E09"/>
    <w:rsid w:val="00597C9E"/>
    <w:rsid w:val="005A5BEA"/>
    <w:rsid w:val="005B7F73"/>
    <w:rsid w:val="005D6E56"/>
    <w:rsid w:val="005E75CA"/>
    <w:rsid w:val="005F43B7"/>
    <w:rsid w:val="006025C3"/>
    <w:rsid w:val="006201C5"/>
    <w:rsid w:val="0063283B"/>
    <w:rsid w:val="0063410D"/>
    <w:rsid w:val="00635012"/>
    <w:rsid w:val="006603BC"/>
    <w:rsid w:val="00685E57"/>
    <w:rsid w:val="006938CA"/>
    <w:rsid w:val="006A7DD9"/>
    <w:rsid w:val="00707F29"/>
    <w:rsid w:val="00711099"/>
    <w:rsid w:val="00716DAE"/>
    <w:rsid w:val="00744F1E"/>
    <w:rsid w:val="007474D9"/>
    <w:rsid w:val="00754C63"/>
    <w:rsid w:val="00776537"/>
    <w:rsid w:val="00776829"/>
    <w:rsid w:val="00785202"/>
    <w:rsid w:val="0079526E"/>
    <w:rsid w:val="00795FFB"/>
    <w:rsid w:val="007D41A0"/>
    <w:rsid w:val="007E368C"/>
    <w:rsid w:val="007E7286"/>
    <w:rsid w:val="00807A3D"/>
    <w:rsid w:val="00820A8B"/>
    <w:rsid w:val="0084545E"/>
    <w:rsid w:val="008519F5"/>
    <w:rsid w:val="0086413A"/>
    <w:rsid w:val="00864396"/>
    <w:rsid w:val="008B1E0B"/>
    <w:rsid w:val="008B2727"/>
    <w:rsid w:val="008D4E4B"/>
    <w:rsid w:val="008F007D"/>
    <w:rsid w:val="008F1E7D"/>
    <w:rsid w:val="0090456F"/>
    <w:rsid w:val="00907C9E"/>
    <w:rsid w:val="00917A7D"/>
    <w:rsid w:val="00926ACC"/>
    <w:rsid w:val="00927BAD"/>
    <w:rsid w:val="00966ADD"/>
    <w:rsid w:val="0097341F"/>
    <w:rsid w:val="009D5E73"/>
    <w:rsid w:val="009D7EA3"/>
    <w:rsid w:val="009E11B0"/>
    <w:rsid w:val="009E35DC"/>
    <w:rsid w:val="009F5A41"/>
    <w:rsid w:val="00A117F3"/>
    <w:rsid w:val="00A243F4"/>
    <w:rsid w:val="00A5443E"/>
    <w:rsid w:val="00A62FE3"/>
    <w:rsid w:val="00A84A87"/>
    <w:rsid w:val="00B04333"/>
    <w:rsid w:val="00B05BB3"/>
    <w:rsid w:val="00B97E47"/>
    <w:rsid w:val="00BB6887"/>
    <w:rsid w:val="00BF051F"/>
    <w:rsid w:val="00C01D47"/>
    <w:rsid w:val="00C04582"/>
    <w:rsid w:val="00C12869"/>
    <w:rsid w:val="00C4271C"/>
    <w:rsid w:val="00C52E7C"/>
    <w:rsid w:val="00C9156C"/>
    <w:rsid w:val="00CE0092"/>
    <w:rsid w:val="00CE19F8"/>
    <w:rsid w:val="00D03640"/>
    <w:rsid w:val="00D4669C"/>
    <w:rsid w:val="00D52CDD"/>
    <w:rsid w:val="00D66976"/>
    <w:rsid w:val="00D813C7"/>
    <w:rsid w:val="00D8588A"/>
    <w:rsid w:val="00DA1B47"/>
    <w:rsid w:val="00DA66B4"/>
    <w:rsid w:val="00DC38BE"/>
    <w:rsid w:val="00DD2322"/>
    <w:rsid w:val="00DF426A"/>
    <w:rsid w:val="00E24FCB"/>
    <w:rsid w:val="00E62F2D"/>
    <w:rsid w:val="00E64E68"/>
    <w:rsid w:val="00E6542A"/>
    <w:rsid w:val="00E7357B"/>
    <w:rsid w:val="00E8012A"/>
    <w:rsid w:val="00E92DC1"/>
    <w:rsid w:val="00EA3802"/>
    <w:rsid w:val="00EA4291"/>
    <w:rsid w:val="00F10700"/>
    <w:rsid w:val="00F134E0"/>
    <w:rsid w:val="00F20C52"/>
    <w:rsid w:val="00F3707B"/>
    <w:rsid w:val="00F50566"/>
    <w:rsid w:val="00F7010D"/>
    <w:rsid w:val="00F779A7"/>
    <w:rsid w:val="00FA1966"/>
    <w:rsid w:val="00FC79AD"/>
    <w:rsid w:val="00FD387B"/>
    <w:rsid w:val="00FE0D03"/>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26F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428"/>
    <w:pPr>
      <w:spacing w:after="200" w:line="276" w:lineRule="auto"/>
    </w:pPr>
    <w:rPr>
      <w:rFonts w:ascii="Times New Roman" w:hAnsi="Times New Roman"/>
      <w:lang w:val="en-GB"/>
    </w:rPr>
  </w:style>
  <w:style w:type="paragraph" w:styleId="Heading1">
    <w:name w:val="heading 1"/>
    <w:basedOn w:val="Normal"/>
    <w:next w:val="Normal"/>
    <w:link w:val="Heading1Char"/>
    <w:uiPriority w:val="9"/>
    <w:qFormat/>
    <w:rsid w:val="004C5428"/>
    <w:pPr>
      <w:keepNext/>
      <w:keepLines/>
      <w:pageBreakBefore/>
      <w:numPr>
        <w:numId w:val="3"/>
      </w:numPr>
      <w:spacing w:before="480" w:after="480"/>
      <w:jc w:val="both"/>
      <w:outlineLvl w:val="0"/>
    </w:pPr>
    <w:rPr>
      <w:rFonts w:ascii="Times New Roman Bold" w:eastAsiaTheme="majorEastAsia" w:hAnsi="Times New Roman Bold" w:cstheme="majorBidi"/>
      <w:b/>
      <w:bCs/>
      <w:caps/>
      <w:color w:val="000000" w:themeColor="text1"/>
      <w:sz w:val="32"/>
      <w:szCs w:val="28"/>
    </w:rPr>
  </w:style>
  <w:style w:type="paragraph" w:styleId="Heading2">
    <w:name w:val="heading 2"/>
    <w:basedOn w:val="Normal"/>
    <w:next w:val="BodyText"/>
    <w:link w:val="Heading2Char"/>
    <w:unhideWhenUsed/>
    <w:qFormat/>
    <w:rsid w:val="004C5428"/>
    <w:pPr>
      <w:keepNext/>
      <w:keepLines/>
      <w:numPr>
        <w:ilvl w:val="1"/>
        <w:numId w:val="3"/>
      </w:numPr>
      <w:spacing w:before="360" w:after="240"/>
      <w:outlineLvl w:val="1"/>
    </w:pPr>
    <w:rPr>
      <w:rFonts w:ascii="Times New Roman Bold" w:eastAsiaTheme="majorEastAsia" w:hAnsi="Times New Roman Bold" w:cstheme="majorBidi"/>
      <w:b/>
      <w:bCs/>
      <w:sz w:val="28"/>
      <w:szCs w:val="26"/>
    </w:rPr>
  </w:style>
  <w:style w:type="paragraph" w:styleId="Heading3">
    <w:name w:val="heading 3"/>
    <w:basedOn w:val="Normal"/>
    <w:next w:val="BodyText"/>
    <w:link w:val="Heading3Char"/>
    <w:unhideWhenUsed/>
    <w:qFormat/>
    <w:rsid w:val="004C5428"/>
    <w:pPr>
      <w:keepNext/>
      <w:keepLines/>
      <w:numPr>
        <w:ilvl w:val="2"/>
        <w:numId w:val="3"/>
      </w:numPr>
      <w:spacing w:before="240" w:after="240"/>
      <w:outlineLvl w:val="2"/>
    </w:pPr>
    <w:rPr>
      <w:rFonts w:eastAsiaTheme="majorEastAsia" w:cstheme="majorBidi"/>
      <w:b/>
      <w:bCs/>
      <w:color w:val="000000" w:themeColor="text1"/>
      <w:sz w:val="28"/>
    </w:rPr>
  </w:style>
  <w:style w:type="paragraph" w:styleId="Heading4">
    <w:name w:val="heading 4"/>
    <w:basedOn w:val="Normal"/>
    <w:next w:val="BodyText"/>
    <w:link w:val="Heading4Char"/>
    <w:unhideWhenUsed/>
    <w:qFormat/>
    <w:rsid w:val="004C5428"/>
    <w:pPr>
      <w:keepNext/>
      <w:keepLines/>
      <w:numPr>
        <w:ilvl w:val="3"/>
        <w:numId w:val="3"/>
      </w:numPr>
      <w:spacing w:before="240" w:after="120" w:line="360" w:lineRule="auto"/>
      <w:outlineLvl w:val="3"/>
    </w:pPr>
    <w:rPr>
      <w:rFonts w:eastAsiaTheme="majorEastAsia" w:cstheme="majorBidi"/>
      <w:b/>
      <w:bCs/>
      <w:iCs/>
      <w:color w:val="000000" w:themeColor="text1"/>
      <w:sz w:val="24"/>
    </w:rPr>
  </w:style>
  <w:style w:type="paragraph" w:styleId="Heading5">
    <w:name w:val="heading 5"/>
    <w:basedOn w:val="Normal"/>
    <w:next w:val="BodyText"/>
    <w:link w:val="Heading5Char"/>
    <w:unhideWhenUsed/>
    <w:qFormat/>
    <w:rsid w:val="004C5428"/>
    <w:pPr>
      <w:keepNext/>
      <w:keepLines/>
      <w:numPr>
        <w:ilvl w:val="4"/>
        <w:numId w:val="3"/>
      </w:numPr>
      <w:spacing w:before="240" w:after="120"/>
      <w:outlineLvl w:val="4"/>
    </w:pPr>
    <w:rPr>
      <w:rFonts w:eastAsiaTheme="majorEastAsia" w:cstheme="majorBidi"/>
      <w:i/>
      <w:sz w:val="24"/>
    </w:rPr>
  </w:style>
  <w:style w:type="paragraph" w:styleId="Heading6">
    <w:name w:val="heading 6"/>
    <w:basedOn w:val="Normal"/>
    <w:next w:val="Normal"/>
    <w:link w:val="Heading6Char"/>
    <w:unhideWhenUsed/>
    <w:qFormat/>
    <w:rsid w:val="004C5428"/>
    <w:pPr>
      <w:keepNext/>
      <w:keepLines/>
      <w:numPr>
        <w:ilvl w:val="5"/>
        <w:numId w:val="3"/>
      </w:numPr>
      <w:spacing w:before="200" w:after="0"/>
      <w:jc w:val="both"/>
      <w:outlineLvl w:val="5"/>
    </w:pPr>
    <w:rPr>
      <w:rFonts w:ascii="Cambria" w:eastAsia="Times New Roman" w:hAnsi="Cambria" w:cs="Times New Roman"/>
      <w:i/>
      <w:iCs/>
      <w:color w:val="243F60"/>
      <w:sz w:val="24"/>
    </w:rPr>
  </w:style>
  <w:style w:type="paragraph" w:styleId="Heading7">
    <w:name w:val="heading 7"/>
    <w:basedOn w:val="Normal"/>
    <w:next w:val="Normal"/>
    <w:link w:val="Heading7Char"/>
    <w:uiPriority w:val="99"/>
    <w:unhideWhenUsed/>
    <w:qFormat/>
    <w:rsid w:val="004C5428"/>
    <w:pPr>
      <w:keepNext/>
      <w:keepLines/>
      <w:numPr>
        <w:ilvl w:val="6"/>
        <w:numId w:val="3"/>
      </w:numPr>
      <w:spacing w:before="200" w:after="0"/>
      <w:jc w:val="both"/>
      <w:outlineLvl w:val="6"/>
    </w:pPr>
    <w:rPr>
      <w:rFonts w:ascii="Cambria" w:eastAsia="Times New Roman" w:hAnsi="Cambria" w:cs="Times New Roman"/>
      <w:i/>
      <w:iCs/>
      <w:color w:val="404040"/>
      <w:sz w:val="24"/>
    </w:rPr>
  </w:style>
  <w:style w:type="paragraph" w:styleId="Heading8">
    <w:name w:val="heading 8"/>
    <w:basedOn w:val="Normal"/>
    <w:next w:val="Normal"/>
    <w:link w:val="Heading8Char"/>
    <w:uiPriority w:val="99"/>
    <w:unhideWhenUsed/>
    <w:qFormat/>
    <w:rsid w:val="004C5428"/>
    <w:pPr>
      <w:keepNext/>
      <w:keepLines/>
      <w:numPr>
        <w:ilvl w:val="7"/>
        <w:numId w:val="3"/>
      </w:numPr>
      <w:spacing w:before="200" w:after="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9"/>
    <w:unhideWhenUsed/>
    <w:qFormat/>
    <w:rsid w:val="004C5428"/>
    <w:pPr>
      <w:keepNext/>
      <w:keepLines/>
      <w:numPr>
        <w:ilvl w:val="8"/>
        <w:numId w:val="3"/>
      </w:numPr>
      <w:spacing w:before="200" w:after="0"/>
      <w:jc w:val="both"/>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428"/>
    <w:rPr>
      <w:rFonts w:ascii="Times New Roman Bold" w:eastAsiaTheme="majorEastAsia" w:hAnsi="Times New Roman Bold" w:cstheme="majorBidi"/>
      <w:b/>
      <w:bCs/>
      <w:caps/>
      <w:color w:val="000000" w:themeColor="text1"/>
      <w:sz w:val="32"/>
      <w:szCs w:val="28"/>
      <w:lang w:val="en-GB"/>
    </w:rPr>
  </w:style>
  <w:style w:type="character" w:customStyle="1" w:styleId="Heading2Char">
    <w:name w:val="Heading 2 Char"/>
    <w:basedOn w:val="DefaultParagraphFont"/>
    <w:link w:val="Heading2"/>
    <w:rsid w:val="004C5428"/>
    <w:rPr>
      <w:rFonts w:ascii="Times New Roman Bold" w:eastAsiaTheme="majorEastAsia" w:hAnsi="Times New Roman Bold" w:cstheme="majorBidi"/>
      <w:b/>
      <w:bCs/>
      <w:sz w:val="28"/>
      <w:szCs w:val="26"/>
      <w:lang w:val="en-GB"/>
    </w:rPr>
  </w:style>
  <w:style w:type="character" w:customStyle="1" w:styleId="Heading3Char">
    <w:name w:val="Heading 3 Char"/>
    <w:basedOn w:val="DefaultParagraphFont"/>
    <w:link w:val="Heading3"/>
    <w:rsid w:val="004C5428"/>
    <w:rPr>
      <w:rFonts w:ascii="Times New Roman" w:eastAsiaTheme="majorEastAsia" w:hAnsi="Times New Roman" w:cstheme="majorBidi"/>
      <w:b/>
      <w:bCs/>
      <w:color w:val="000000" w:themeColor="text1"/>
      <w:sz w:val="28"/>
      <w:lang w:val="en-GB"/>
    </w:rPr>
  </w:style>
  <w:style w:type="character" w:customStyle="1" w:styleId="Heading4Char">
    <w:name w:val="Heading 4 Char"/>
    <w:basedOn w:val="DefaultParagraphFont"/>
    <w:link w:val="Heading4"/>
    <w:rsid w:val="004C5428"/>
    <w:rPr>
      <w:rFonts w:ascii="Times New Roman" w:eastAsiaTheme="majorEastAsia" w:hAnsi="Times New Roman" w:cstheme="majorBidi"/>
      <w:b/>
      <w:bCs/>
      <w:iCs/>
      <w:color w:val="000000" w:themeColor="text1"/>
      <w:sz w:val="24"/>
      <w:lang w:val="en-GB"/>
    </w:rPr>
  </w:style>
  <w:style w:type="character" w:customStyle="1" w:styleId="Heading5Char">
    <w:name w:val="Heading 5 Char"/>
    <w:basedOn w:val="DefaultParagraphFont"/>
    <w:link w:val="Heading5"/>
    <w:rsid w:val="004C5428"/>
    <w:rPr>
      <w:rFonts w:ascii="Times New Roman" w:eastAsiaTheme="majorEastAsia" w:hAnsi="Times New Roman" w:cstheme="majorBidi"/>
      <w:i/>
      <w:sz w:val="24"/>
      <w:lang w:val="en-GB"/>
    </w:rPr>
  </w:style>
  <w:style w:type="character" w:customStyle="1" w:styleId="Heading6Char">
    <w:name w:val="Heading 6 Char"/>
    <w:basedOn w:val="DefaultParagraphFont"/>
    <w:link w:val="Heading6"/>
    <w:rsid w:val="004C5428"/>
    <w:rPr>
      <w:rFonts w:ascii="Cambria" w:eastAsia="Times New Roman" w:hAnsi="Cambria" w:cs="Times New Roman"/>
      <w:i/>
      <w:iCs/>
      <w:color w:val="243F60"/>
      <w:sz w:val="24"/>
      <w:lang w:val="en-GB"/>
    </w:rPr>
  </w:style>
  <w:style w:type="character" w:customStyle="1" w:styleId="Heading7Char">
    <w:name w:val="Heading 7 Char"/>
    <w:basedOn w:val="DefaultParagraphFont"/>
    <w:link w:val="Heading7"/>
    <w:uiPriority w:val="99"/>
    <w:rsid w:val="004C5428"/>
    <w:rPr>
      <w:rFonts w:ascii="Cambria" w:eastAsia="Times New Roman" w:hAnsi="Cambria" w:cs="Times New Roman"/>
      <w:i/>
      <w:iCs/>
      <w:color w:val="404040"/>
      <w:sz w:val="24"/>
      <w:lang w:val="en-GB"/>
    </w:rPr>
  </w:style>
  <w:style w:type="character" w:customStyle="1" w:styleId="Heading8Char">
    <w:name w:val="Heading 8 Char"/>
    <w:basedOn w:val="DefaultParagraphFont"/>
    <w:link w:val="Heading8"/>
    <w:uiPriority w:val="99"/>
    <w:rsid w:val="004C5428"/>
    <w:rPr>
      <w:rFonts w:ascii="Cambria" w:eastAsia="Times New Roman" w:hAnsi="Cambria" w:cs="Times New Roman"/>
      <w:color w:val="404040"/>
      <w:sz w:val="20"/>
      <w:szCs w:val="20"/>
      <w:lang w:val="en-GB"/>
    </w:rPr>
  </w:style>
  <w:style w:type="character" w:customStyle="1" w:styleId="Heading9Char">
    <w:name w:val="Heading 9 Char"/>
    <w:basedOn w:val="DefaultParagraphFont"/>
    <w:link w:val="Heading9"/>
    <w:uiPriority w:val="99"/>
    <w:rsid w:val="004C5428"/>
    <w:rPr>
      <w:rFonts w:ascii="Cambria" w:eastAsia="Times New Roman" w:hAnsi="Cambria" w:cs="Times New Roman"/>
      <w:i/>
      <w:iCs/>
      <w:color w:val="404040"/>
      <w:sz w:val="20"/>
      <w:szCs w:val="20"/>
      <w:lang w:val="en-GB"/>
    </w:rPr>
  </w:style>
  <w:style w:type="paragraph" w:styleId="ListParagraph">
    <w:name w:val="List Paragraph"/>
    <w:basedOn w:val="Normal"/>
    <w:link w:val="ListParagraphChar"/>
    <w:uiPriority w:val="34"/>
    <w:qFormat/>
    <w:rsid w:val="004C5428"/>
    <w:pPr>
      <w:ind w:left="720"/>
      <w:contextualSpacing/>
    </w:pPr>
  </w:style>
  <w:style w:type="paragraph" w:styleId="Header">
    <w:name w:val="header"/>
    <w:basedOn w:val="Normal"/>
    <w:link w:val="HeaderChar"/>
    <w:uiPriority w:val="99"/>
    <w:rsid w:val="004C5428"/>
    <w:pPr>
      <w:tabs>
        <w:tab w:val="center" w:pos="4153"/>
        <w:tab w:val="right" w:pos="8306"/>
      </w:tabs>
      <w:spacing w:after="0" w:line="240" w:lineRule="auto"/>
      <w:jc w:val="center"/>
    </w:pPr>
    <w:rPr>
      <w:rFonts w:eastAsia="Times New Roman" w:cs="Times New Roman"/>
      <w:sz w:val="20"/>
      <w:szCs w:val="24"/>
    </w:rPr>
  </w:style>
  <w:style w:type="character" w:customStyle="1" w:styleId="HeaderChar">
    <w:name w:val="Header Char"/>
    <w:basedOn w:val="DefaultParagraphFont"/>
    <w:link w:val="Header"/>
    <w:uiPriority w:val="99"/>
    <w:rsid w:val="004C5428"/>
    <w:rPr>
      <w:rFonts w:ascii="Times New Roman" w:eastAsia="Times New Roman" w:hAnsi="Times New Roman" w:cs="Times New Roman"/>
      <w:sz w:val="20"/>
      <w:szCs w:val="24"/>
      <w:lang w:val="en-GB"/>
    </w:rPr>
  </w:style>
  <w:style w:type="paragraph" w:styleId="Footer">
    <w:name w:val="footer"/>
    <w:basedOn w:val="Normal"/>
    <w:link w:val="FooterChar"/>
    <w:uiPriority w:val="99"/>
    <w:rsid w:val="004C5428"/>
    <w:pPr>
      <w:tabs>
        <w:tab w:val="center" w:pos="4820"/>
      </w:tabs>
      <w:spacing w:after="0" w:line="240" w:lineRule="auto"/>
      <w:jc w:val="center"/>
    </w:pPr>
    <w:rPr>
      <w:rFonts w:eastAsia="Times New Roman" w:cs="Times New Roman"/>
      <w:iCs/>
      <w:noProof/>
      <w:sz w:val="20"/>
      <w:szCs w:val="20"/>
    </w:rPr>
  </w:style>
  <w:style w:type="character" w:customStyle="1" w:styleId="FooterChar">
    <w:name w:val="Footer Char"/>
    <w:basedOn w:val="DefaultParagraphFont"/>
    <w:link w:val="Footer"/>
    <w:uiPriority w:val="99"/>
    <w:rsid w:val="004C5428"/>
    <w:rPr>
      <w:rFonts w:ascii="Times New Roman" w:eastAsia="Times New Roman" w:hAnsi="Times New Roman" w:cs="Times New Roman"/>
      <w:iCs/>
      <w:noProof/>
      <w:sz w:val="20"/>
      <w:szCs w:val="20"/>
      <w:lang w:val="en-GB"/>
    </w:rPr>
  </w:style>
  <w:style w:type="table" w:styleId="TableGrid">
    <w:name w:val="Table Grid"/>
    <w:basedOn w:val="TableNormal"/>
    <w:uiPriority w:val="59"/>
    <w:rsid w:val="004C5428"/>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C5428"/>
    <w:pPr>
      <w:spacing w:line="240" w:lineRule="auto"/>
    </w:pPr>
    <w:rPr>
      <w:b/>
      <w:bCs/>
      <w:color w:val="5B9BD5" w:themeColor="accent1"/>
      <w:sz w:val="18"/>
      <w:szCs w:val="18"/>
    </w:rPr>
  </w:style>
  <w:style w:type="character" w:styleId="CommentReference">
    <w:name w:val="annotation reference"/>
    <w:basedOn w:val="DefaultParagraphFont"/>
    <w:uiPriority w:val="99"/>
    <w:unhideWhenUsed/>
    <w:rsid w:val="004C5428"/>
    <w:rPr>
      <w:sz w:val="16"/>
      <w:szCs w:val="16"/>
    </w:rPr>
  </w:style>
  <w:style w:type="character" w:customStyle="1" w:styleId="ListParagraphChar">
    <w:name w:val="List Paragraph Char"/>
    <w:basedOn w:val="DefaultParagraphFont"/>
    <w:link w:val="ListParagraph"/>
    <w:uiPriority w:val="34"/>
    <w:locked/>
    <w:rsid w:val="004C5428"/>
    <w:rPr>
      <w:rFonts w:ascii="Times New Roman" w:hAnsi="Times New Roman"/>
      <w:lang w:val="en-GB"/>
    </w:rPr>
  </w:style>
  <w:style w:type="table" w:customStyle="1" w:styleId="TableGrid111">
    <w:name w:val="Table Grid111"/>
    <w:basedOn w:val="TableNormal"/>
    <w:next w:val="TableGrid"/>
    <w:uiPriority w:val="59"/>
    <w:rsid w:val="004C5428"/>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4C5428"/>
    <w:pPr>
      <w:spacing w:after="120"/>
    </w:pPr>
  </w:style>
  <w:style w:type="character" w:customStyle="1" w:styleId="BodyTextChar">
    <w:name w:val="Body Text Char"/>
    <w:basedOn w:val="DefaultParagraphFont"/>
    <w:link w:val="BodyText"/>
    <w:uiPriority w:val="99"/>
    <w:rsid w:val="004C5428"/>
    <w:rPr>
      <w:rFonts w:ascii="Times New Roman" w:hAnsi="Times New Roman"/>
      <w:lang w:val="en-GB"/>
    </w:rPr>
  </w:style>
  <w:style w:type="paragraph" w:customStyle="1" w:styleId="Default">
    <w:name w:val="Default"/>
    <w:rsid w:val="003D293C"/>
    <w:pPr>
      <w:widowControl w:val="0"/>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Hyperlink">
    <w:name w:val="Hyperlink"/>
    <w:basedOn w:val="DefaultParagraphFont"/>
    <w:uiPriority w:val="99"/>
    <w:unhideWhenUsed/>
    <w:rsid w:val="00F134E0"/>
    <w:rPr>
      <w:color w:val="0563C1" w:themeColor="hyperlink"/>
      <w:u w:val="single"/>
    </w:rPr>
  </w:style>
  <w:style w:type="paragraph" w:styleId="BalloonText">
    <w:name w:val="Balloon Text"/>
    <w:basedOn w:val="Normal"/>
    <w:link w:val="BalloonTextChar"/>
    <w:uiPriority w:val="99"/>
    <w:semiHidden/>
    <w:unhideWhenUsed/>
    <w:rsid w:val="00F134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4E0"/>
    <w:rPr>
      <w:rFonts w:ascii="Segoe UI" w:hAnsi="Segoe UI" w:cs="Segoe UI"/>
      <w:sz w:val="18"/>
      <w:szCs w:val="18"/>
      <w:lang w:val="en-GB"/>
    </w:rPr>
  </w:style>
  <w:style w:type="paragraph" w:styleId="Revision">
    <w:name w:val="Revision"/>
    <w:hidden/>
    <w:uiPriority w:val="99"/>
    <w:semiHidden/>
    <w:rsid w:val="00BB6887"/>
    <w:pPr>
      <w:spacing w:after="0" w:line="240" w:lineRule="auto"/>
    </w:pPr>
    <w:rPr>
      <w:rFonts w:ascii="Times New Roman" w:hAnsi="Times New Roman"/>
      <w:lang w:val="en-GB"/>
    </w:rPr>
  </w:style>
  <w:style w:type="paragraph" w:styleId="CommentText">
    <w:name w:val="annotation text"/>
    <w:basedOn w:val="Normal"/>
    <w:link w:val="CommentTextChar"/>
    <w:uiPriority w:val="99"/>
    <w:unhideWhenUsed/>
    <w:rsid w:val="00F50566"/>
    <w:pPr>
      <w:spacing w:line="240" w:lineRule="auto"/>
    </w:pPr>
    <w:rPr>
      <w:sz w:val="20"/>
      <w:szCs w:val="20"/>
    </w:rPr>
  </w:style>
  <w:style w:type="character" w:customStyle="1" w:styleId="CommentTextChar">
    <w:name w:val="Comment Text Char"/>
    <w:basedOn w:val="DefaultParagraphFont"/>
    <w:link w:val="CommentText"/>
    <w:uiPriority w:val="99"/>
    <w:rsid w:val="00F50566"/>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F50566"/>
    <w:rPr>
      <w:b/>
      <w:bCs/>
    </w:rPr>
  </w:style>
  <w:style w:type="character" w:customStyle="1" w:styleId="CommentSubjectChar">
    <w:name w:val="Comment Subject Char"/>
    <w:basedOn w:val="CommentTextChar"/>
    <w:link w:val="CommentSubject"/>
    <w:uiPriority w:val="99"/>
    <w:semiHidden/>
    <w:rsid w:val="00F50566"/>
    <w:rPr>
      <w:rFonts w:ascii="Times New Roman" w:hAnsi="Times New Roman"/>
      <w:b/>
      <w:bCs/>
      <w:sz w:val="20"/>
      <w:szCs w:val="20"/>
      <w:lang w:val="en-GB"/>
    </w:rPr>
  </w:style>
  <w:style w:type="paragraph" w:styleId="NormalWeb">
    <w:name w:val="Normal (Web)"/>
    <w:basedOn w:val="Normal"/>
    <w:uiPriority w:val="99"/>
    <w:semiHidden/>
    <w:unhideWhenUsed/>
    <w:rsid w:val="008F1E7D"/>
    <w:rPr>
      <w:rFonts w:cs="Times New Roman"/>
      <w:sz w:val="24"/>
      <w:szCs w:val="24"/>
    </w:rPr>
  </w:style>
  <w:style w:type="character" w:styleId="Strong">
    <w:name w:val="Strong"/>
    <w:basedOn w:val="DefaultParagraphFont"/>
    <w:uiPriority w:val="22"/>
    <w:qFormat/>
    <w:rsid w:val="00A544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026945">
      <w:bodyDiv w:val="1"/>
      <w:marLeft w:val="0"/>
      <w:marRight w:val="0"/>
      <w:marTop w:val="0"/>
      <w:marBottom w:val="0"/>
      <w:divBdr>
        <w:top w:val="none" w:sz="0" w:space="0" w:color="auto"/>
        <w:left w:val="none" w:sz="0" w:space="0" w:color="auto"/>
        <w:bottom w:val="none" w:sz="0" w:space="0" w:color="auto"/>
        <w:right w:val="none" w:sz="0" w:space="0" w:color="auto"/>
      </w:divBdr>
    </w:div>
    <w:div w:id="838229027">
      <w:bodyDiv w:val="1"/>
      <w:marLeft w:val="0"/>
      <w:marRight w:val="0"/>
      <w:marTop w:val="0"/>
      <w:marBottom w:val="0"/>
      <w:divBdr>
        <w:top w:val="none" w:sz="0" w:space="0" w:color="auto"/>
        <w:left w:val="none" w:sz="0" w:space="0" w:color="auto"/>
        <w:bottom w:val="none" w:sz="0" w:space="0" w:color="auto"/>
        <w:right w:val="none" w:sz="0" w:space="0" w:color="auto"/>
      </w:divBdr>
    </w:div>
    <w:div w:id="1053044741">
      <w:bodyDiv w:val="1"/>
      <w:marLeft w:val="0"/>
      <w:marRight w:val="0"/>
      <w:marTop w:val="0"/>
      <w:marBottom w:val="0"/>
      <w:divBdr>
        <w:top w:val="none" w:sz="0" w:space="0" w:color="auto"/>
        <w:left w:val="none" w:sz="0" w:space="0" w:color="auto"/>
        <w:bottom w:val="none" w:sz="0" w:space="0" w:color="auto"/>
        <w:right w:val="none" w:sz="0" w:space="0" w:color="auto"/>
      </w:divBdr>
    </w:div>
    <w:div w:id="1107851344">
      <w:bodyDiv w:val="1"/>
      <w:marLeft w:val="0"/>
      <w:marRight w:val="0"/>
      <w:marTop w:val="0"/>
      <w:marBottom w:val="0"/>
      <w:divBdr>
        <w:top w:val="none" w:sz="0" w:space="0" w:color="auto"/>
        <w:left w:val="none" w:sz="0" w:space="0" w:color="auto"/>
        <w:bottom w:val="none" w:sz="0" w:space="0" w:color="auto"/>
        <w:right w:val="none" w:sz="0" w:space="0" w:color="auto"/>
      </w:divBdr>
    </w:div>
    <w:div w:id="1265504735">
      <w:bodyDiv w:val="1"/>
      <w:marLeft w:val="0"/>
      <w:marRight w:val="0"/>
      <w:marTop w:val="0"/>
      <w:marBottom w:val="0"/>
      <w:divBdr>
        <w:top w:val="none" w:sz="0" w:space="0" w:color="auto"/>
        <w:left w:val="none" w:sz="0" w:space="0" w:color="auto"/>
        <w:bottom w:val="none" w:sz="0" w:space="0" w:color="auto"/>
        <w:right w:val="none" w:sz="0" w:space="0" w:color="auto"/>
      </w:divBdr>
    </w:div>
    <w:div w:id="1515269306">
      <w:bodyDiv w:val="1"/>
      <w:marLeft w:val="0"/>
      <w:marRight w:val="0"/>
      <w:marTop w:val="0"/>
      <w:marBottom w:val="0"/>
      <w:divBdr>
        <w:top w:val="none" w:sz="0" w:space="0" w:color="auto"/>
        <w:left w:val="none" w:sz="0" w:space="0" w:color="auto"/>
        <w:bottom w:val="none" w:sz="0" w:space="0" w:color="auto"/>
        <w:right w:val="none" w:sz="0" w:space="0" w:color="auto"/>
      </w:divBdr>
    </w:div>
    <w:div w:id="1585259102">
      <w:bodyDiv w:val="1"/>
      <w:marLeft w:val="0"/>
      <w:marRight w:val="0"/>
      <w:marTop w:val="0"/>
      <w:marBottom w:val="0"/>
      <w:divBdr>
        <w:top w:val="none" w:sz="0" w:space="0" w:color="auto"/>
        <w:left w:val="none" w:sz="0" w:space="0" w:color="auto"/>
        <w:bottom w:val="none" w:sz="0" w:space="0" w:color="auto"/>
        <w:right w:val="none" w:sz="0" w:space="0" w:color="auto"/>
      </w:divBdr>
    </w:div>
    <w:div w:id="1781795281">
      <w:bodyDiv w:val="1"/>
      <w:marLeft w:val="0"/>
      <w:marRight w:val="0"/>
      <w:marTop w:val="0"/>
      <w:marBottom w:val="0"/>
      <w:divBdr>
        <w:top w:val="none" w:sz="0" w:space="0" w:color="auto"/>
        <w:left w:val="none" w:sz="0" w:space="0" w:color="auto"/>
        <w:bottom w:val="none" w:sz="0" w:space="0" w:color="auto"/>
        <w:right w:val="none" w:sz="0" w:space="0" w:color="auto"/>
      </w:divBdr>
    </w:div>
    <w:div w:id="1938321876">
      <w:bodyDiv w:val="1"/>
      <w:marLeft w:val="0"/>
      <w:marRight w:val="0"/>
      <w:marTop w:val="0"/>
      <w:marBottom w:val="0"/>
      <w:divBdr>
        <w:top w:val="none" w:sz="0" w:space="0" w:color="auto"/>
        <w:left w:val="none" w:sz="0" w:space="0" w:color="auto"/>
        <w:bottom w:val="none" w:sz="0" w:space="0" w:color="auto"/>
        <w:right w:val="none" w:sz="0" w:space="0" w:color="auto"/>
      </w:divBdr>
    </w:div>
    <w:div w:id="199683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www.nexus.globalquakemodel.org/gem-gmpes/post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s://doi.org/10.1016/j.jafrearsci.2019.1036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312AE7C-6BA0-4D99-9236-52672B47D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5730</Words>
  <Characters>32662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2024-12-06T08:41:00Z</dcterms:created>
  <dcterms:modified xsi:type="dcterms:W3CDTF">2024-12-06T11:54:00Z</dcterms:modified>
</cp:coreProperties>
</file>